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A4" w:rsidRDefault="00683C76" w:rsidP="00391D77">
      <w:pPr>
        <w:pStyle w:val="NormalWeb"/>
        <w:jc w:val="center"/>
        <w:rPr>
          <w:rFonts w:ascii="Calibri" w:hAnsi="Calibri"/>
          <w:b/>
          <w:bCs/>
          <w:iCs/>
          <w:lang w:val="en-IE"/>
        </w:rPr>
      </w:pPr>
      <w:bookmarkStart w:id="0" w:name="_GoBack"/>
      <w:bookmarkEnd w:id="0"/>
      <w:r>
        <w:rPr>
          <w:rFonts w:ascii="Calibri" w:hAnsi="Calibri"/>
          <w:b/>
          <w:bCs/>
          <w:iCs/>
          <w:noProof/>
          <w:lang w:val="en-IE" w:eastAsia="en-IE"/>
        </w:rPr>
        <w:drawing>
          <wp:inline distT="0" distB="0" distL="0" distR="0">
            <wp:extent cx="1938655" cy="737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77" w:rsidRPr="00391D77" w:rsidRDefault="00391D77" w:rsidP="00391D77">
      <w:pPr>
        <w:pStyle w:val="NormalWeb"/>
        <w:jc w:val="center"/>
        <w:rPr>
          <w:rFonts w:ascii="Calibri" w:hAnsi="Calibri"/>
          <w:iCs/>
        </w:rPr>
      </w:pPr>
      <w:r w:rsidRPr="00391D77">
        <w:rPr>
          <w:rFonts w:ascii="Calibri" w:hAnsi="Calibri"/>
          <w:b/>
          <w:bCs/>
          <w:iCs/>
          <w:lang w:val="en-IE"/>
        </w:rPr>
        <w:t xml:space="preserve">Teagasc Forestry Development Department </w:t>
      </w:r>
      <w:r w:rsidRPr="00391D77">
        <w:rPr>
          <w:rFonts w:ascii="Calibri" w:hAnsi="Calibri"/>
          <w:b/>
          <w:bCs/>
          <w:iCs/>
          <w:lang w:val="en-IE"/>
        </w:rPr>
        <w:br/>
        <w:t>Afforestation/Tree planting Clinics 2013</w:t>
      </w:r>
    </w:p>
    <w:p w:rsidR="00AE01E8" w:rsidRPr="00AE01E8" w:rsidRDefault="00AE01E8" w:rsidP="00AE01E8">
      <w:pPr>
        <w:pStyle w:val="NormalWeb"/>
        <w:rPr>
          <w:rFonts w:ascii="Calibri" w:hAnsi="Calibri"/>
          <w:iCs/>
        </w:rPr>
      </w:pPr>
      <w:r w:rsidRPr="00AE01E8">
        <w:rPr>
          <w:rFonts w:ascii="Calibri" w:hAnsi="Calibri"/>
          <w:iCs/>
        </w:rPr>
        <w:t>A nationwide series of forestry clinics for people who were considering planting forestry on the</w:t>
      </w:r>
      <w:r>
        <w:rPr>
          <w:rFonts w:ascii="Calibri" w:hAnsi="Calibri"/>
          <w:iCs/>
        </w:rPr>
        <w:t>ir</w:t>
      </w:r>
      <w:r w:rsidRPr="00AE01E8">
        <w:rPr>
          <w:rFonts w:ascii="Calibri" w:hAnsi="Calibri"/>
          <w:iCs/>
        </w:rPr>
        <w:t xml:space="preserve"> farm was organised by Teagasc’s Forestry Development Department in February 2013. </w:t>
      </w:r>
    </w:p>
    <w:p w:rsidR="00AE01E8" w:rsidRDefault="00AE01E8" w:rsidP="00AE01E8">
      <w:pPr>
        <w:pStyle w:val="NormalWeb"/>
        <w:rPr>
          <w:rFonts w:ascii="Calibri" w:hAnsi="Calibri"/>
        </w:rPr>
      </w:pPr>
      <w:r w:rsidRPr="00AE01E8">
        <w:rPr>
          <w:rFonts w:ascii="Calibri" w:hAnsi="Calibri"/>
        </w:rPr>
        <w:t xml:space="preserve">Farmers and landowners considering the merits of a forestry enterprise were invited to attend these free clinics in local Teagasc offices throughout the country. They provided an opportunity to avail of a one-to-one consultation with a Teagasc forestry adviser. </w:t>
      </w:r>
    </w:p>
    <w:p w:rsidR="00AE01E8" w:rsidRPr="00AE01E8" w:rsidRDefault="00AE01E8" w:rsidP="00AE01E8">
      <w:pPr>
        <w:pStyle w:val="NormalWeb"/>
        <w:rPr>
          <w:rFonts w:ascii="Calibri" w:hAnsi="Calibri"/>
        </w:rPr>
      </w:pPr>
      <w:r w:rsidRPr="00AE01E8">
        <w:rPr>
          <w:rFonts w:ascii="Calibri" w:hAnsi="Calibri"/>
        </w:rPr>
        <w:t xml:space="preserve">Similar clinics held in 2012 were very well attended, with a range of issues being explored, such as land suitability, environmental compatibility, interaction of forestry with other farm schemes, and potential returns on investment. </w:t>
      </w:r>
    </w:p>
    <w:p w:rsidR="00AE01E8" w:rsidRDefault="00AE01E8" w:rsidP="00AE01E8">
      <w:pPr>
        <w:rPr>
          <w:color w:val="auto"/>
          <w:lang w:val="en-IE"/>
        </w:rPr>
      </w:pPr>
      <w:r>
        <w:rPr>
          <w:color w:val="auto"/>
          <w:lang w:val="en-IE"/>
        </w:rPr>
        <w:t xml:space="preserve">The 2013 clinics also proved very successful when 59 clinics days were held </w:t>
      </w:r>
      <w:r w:rsidR="00391D77">
        <w:rPr>
          <w:color w:val="auto"/>
          <w:lang w:val="en-IE"/>
        </w:rPr>
        <w:t>around the country</w:t>
      </w:r>
      <w:r w:rsidR="0012256C">
        <w:rPr>
          <w:color w:val="auto"/>
          <w:lang w:val="en-IE"/>
        </w:rPr>
        <w:t xml:space="preserve"> (38 clinics were initially advertised)</w:t>
      </w:r>
      <w:r w:rsidR="00391D77">
        <w:rPr>
          <w:color w:val="auto"/>
          <w:lang w:val="en-IE"/>
        </w:rPr>
        <w:t xml:space="preserve">. </w:t>
      </w:r>
      <w:r w:rsidR="00395252">
        <w:rPr>
          <w:color w:val="auto"/>
          <w:lang w:val="en-IE"/>
        </w:rPr>
        <w:t>These days facilitated a</w:t>
      </w:r>
      <w:r w:rsidR="00391D77">
        <w:rPr>
          <w:color w:val="auto"/>
          <w:lang w:val="en-IE"/>
        </w:rPr>
        <w:t xml:space="preserve"> t</w:t>
      </w:r>
      <w:r w:rsidRPr="00AE01E8">
        <w:rPr>
          <w:color w:val="auto"/>
          <w:lang w:val="en-IE"/>
        </w:rPr>
        <w:t>otal of 510 individual appointments</w:t>
      </w:r>
      <w:r w:rsidR="00391D77">
        <w:rPr>
          <w:color w:val="auto"/>
          <w:lang w:val="en-IE"/>
        </w:rPr>
        <w:t xml:space="preserve">. Figures 1 and 2 show the areas of interest of those attending the clinics in both 2012 and 2013. It is important to note that in 2012; </w:t>
      </w:r>
      <w:r w:rsidR="00395252">
        <w:rPr>
          <w:color w:val="auto"/>
          <w:lang w:val="en-IE"/>
        </w:rPr>
        <w:t>clinics were marketed</w:t>
      </w:r>
      <w:r w:rsidR="00391D77">
        <w:rPr>
          <w:color w:val="auto"/>
          <w:lang w:val="en-IE"/>
        </w:rPr>
        <w:t xml:space="preserve"> to</w:t>
      </w:r>
      <w:r w:rsidR="00395252">
        <w:rPr>
          <w:color w:val="auto"/>
          <w:lang w:val="en-IE"/>
        </w:rPr>
        <w:t xml:space="preserve"> those with queries on</w:t>
      </w:r>
      <w:r w:rsidR="00391D77">
        <w:rPr>
          <w:color w:val="auto"/>
          <w:lang w:val="en-IE"/>
        </w:rPr>
        <w:t xml:space="preserve"> all aspects of </w:t>
      </w:r>
      <w:r w:rsidR="00395252">
        <w:rPr>
          <w:color w:val="auto"/>
          <w:lang w:val="en-IE"/>
        </w:rPr>
        <w:t>forestry whereas 2013 clinics were aimed specifically at those interested in afforestation/tree planting.</w:t>
      </w:r>
    </w:p>
    <w:p w:rsidR="00395252" w:rsidRDefault="00395252" w:rsidP="00AE01E8">
      <w:pPr>
        <w:rPr>
          <w:color w:val="auto"/>
          <w:lang w:val="en-IE"/>
        </w:rPr>
      </w:pPr>
    </w:p>
    <w:p w:rsidR="00395252" w:rsidRDefault="00395252" w:rsidP="00AE01E8">
      <w:pPr>
        <w:rPr>
          <w:color w:val="auto"/>
          <w:lang w:val="en-IE"/>
        </w:rPr>
      </w:pPr>
    </w:p>
    <w:p w:rsidR="00391D77" w:rsidRDefault="00391D77" w:rsidP="00AE01E8">
      <w:pPr>
        <w:rPr>
          <w:color w:val="auto"/>
          <w:lang w:val="en-IE"/>
        </w:rPr>
      </w:pPr>
    </w:p>
    <w:p w:rsidR="00391D77" w:rsidRPr="00AE01E8" w:rsidRDefault="00391D77" w:rsidP="00AE01E8">
      <w:pPr>
        <w:rPr>
          <w:color w:val="auto"/>
        </w:rPr>
      </w:pPr>
    </w:p>
    <w:p w:rsidR="007D239D" w:rsidRDefault="00683C76">
      <w:r>
        <w:rPr>
          <w:noProof/>
          <w:lang w:val="en-IE" w:eastAsia="en-I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12700</wp:posOffset>
            </wp:positionV>
            <wp:extent cx="2971800" cy="2541270"/>
            <wp:effectExtent l="0" t="0" r="0" b="0"/>
            <wp:wrapTight wrapText="bothSides">
              <wp:wrapPolygon edited="0">
                <wp:start x="0" y="0"/>
                <wp:lineTo x="0" y="21373"/>
                <wp:lineTo x="21462" y="21373"/>
                <wp:lineTo x="21462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2" t="19583" r="16602" b="1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inline distT="0" distB="0" distL="0" distR="0">
            <wp:extent cx="2971800" cy="2571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8" t="9085" r="18288" b="9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91D77" w:rsidRDefault="00391D77"/>
    <w:p w:rsidR="003E3DAD" w:rsidRDefault="00391D77" w:rsidP="00391D77">
      <w:r w:rsidRPr="003E3DAD">
        <w:rPr>
          <w:b/>
          <w:i/>
        </w:rPr>
        <w:t>Fig</w:t>
      </w:r>
      <w:r w:rsidR="003E3DAD" w:rsidRPr="003E3DAD">
        <w:rPr>
          <w:b/>
          <w:i/>
        </w:rPr>
        <w:t>ure</w:t>
      </w:r>
      <w:r w:rsidRPr="003E3DAD">
        <w:rPr>
          <w:b/>
          <w:i/>
        </w:rPr>
        <w:t xml:space="preserve"> 1:</w:t>
      </w:r>
      <w:r>
        <w:t xml:space="preserve"> </w:t>
      </w:r>
      <w:r w:rsidR="003E3DAD">
        <w:tab/>
      </w:r>
      <w:r w:rsidR="003E3DAD">
        <w:tab/>
      </w:r>
      <w:r w:rsidR="003E3DAD">
        <w:tab/>
      </w:r>
      <w:r w:rsidR="003E3DAD">
        <w:tab/>
      </w:r>
      <w:r w:rsidR="003E3DAD">
        <w:tab/>
        <w:t xml:space="preserve">    </w:t>
      </w:r>
      <w:r w:rsidR="003E3DAD" w:rsidRPr="003E3DAD">
        <w:rPr>
          <w:b/>
          <w:i/>
        </w:rPr>
        <w:t>Fig</w:t>
      </w:r>
      <w:r w:rsidR="003E3DAD">
        <w:rPr>
          <w:b/>
          <w:i/>
        </w:rPr>
        <w:t>ure</w:t>
      </w:r>
      <w:r w:rsidR="003E3DAD" w:rsidRPr="003E3DAD">
        <w:rPr>
          <w:b/>
          <w:i/>
        </w:rPr>
        <w:t xml:space="preserve"> 2:</w:t>
      </w:r>
      <w:r w:rsidR="003E3DAD">
        <w:rPr>
          <w:lang w:val="en-IE"/>
        </w:rPr>
        <w:t xml:space="preserve"> </w:t>
      </w:r>
    </w:p>
    <w:p w:rsidR="00391D77" w:rsidRDefault="00391D77" w:rsidP="00391D77">
      <w:pPr>
        <w:rPr>
          <w:lang w:val="en-IE"/>
        </w:rPr>
      </w:pPr>
      <w:r w:rsidRPr="00391D77">
        <w:rPr>
          <w:b/>
          <w:bCs/>
          <w:u w:val="single"/>
          <w:lang w:val="en-IE"/>
        </w:rPr>
        <w:t>2012</w:t>
      </w:r>
      <w:r w:rsidRPr="00391D77">
        <w:rPr>
          <w:lang w:val="en-IE"/>
        </w:rPr>
        <w:t xml:space="preserve"> ‘forestry clinics’</w:t>
      </w:r>
      <w:r>
        <w:tab/>
      </w:r>
      <w:r>
        <w:tab/>
      </w:r>
      <w:r>
        <w:tab/>
        <w:t xml:space="preserve"> </w:t>
      </w:r>
      <w:r w:rsidR="003E3DAD">
        <w:tab/>
        <w:t xml:space="preserve">    </w:t>
      </w:r>
      <w:r w:rsidR="003E3DAD" w:rsidRPr="00391D77">
        <w:rPr>
          <w:b/>
          <w:bCs/>
          <w:u w:val="single"/>
          <w:lang w:val="en-IE"/>
        </w:rPr>
        <w:t>2013</w:t>
      </w:r>
      <w:r>
        <w:t xml:space="preserve"> </w:t>
      </w:r>
      <w:r w:rsidR="003E3DAD">
        <w:rPr>
          <w:lang w:val="en-IE"/>
        </w:rPr>
        <w:t>‘afforestation c</w:t>
      </w:r>
      <w:r w:rsidR="003E3DAD" w:rsidRPr="00391D77">
        <w:rPr>
          <w:lang w:val="en-IE"/>
        </w:rPr>
        <w:t>linics</w:t>
      </w:r>
      <w:r w:rsidR="003E3DAD">
        <w:rPr>
          <w:lang w:val="en-IE"/>
        </w:rPr>
        <w:t>’</w:t>
      </w:r>
    </w:p>
    <w:p w:rsidR="00391D77" w:rsidRDefault="00391D77" w:rsidP="00391D77">
      <w:pPr>
        <w:rPr>
          <w:lang w:val="en-IE"/>
        </w:rPr>
      </w:pPr>
      <w:r w:rsidRPr="00391D77">
        <w:rPr>
          <w:lang w:val="en-IE"/>
        </w:rPr>
        <w:lastRenderedPageBreak/>
        <w:t xml:space="preserve">229 appointments </w:t>
      </w:r>
      <w:r w:rsidRPr="00391D77">
        <w:rPr>
          <w:lang w:val="en-IE"/>
        </w:rPr>
        <w:tab/>
      </w:r>
      <w:r w:rsidRPr="00391D77">
        <w:rPr>
          <w:lang w:val="en-IE"/>
        </w:rPr>
        <w:tab/>
      </w:r>
      <w:r w:rsidRPr="00391D77">
        <w:rPr>
          <w:lang w:val="en-IE"/>
        </w:rPr>
        <w:tab/>
      </w:r>
      <w:r>
        <w:rPr>
          <w:lang w:val="en-IE"/>
        </w:rPr>
        <w:t xml:space="preserve">              </w:t>
      </w:r>
      <w:r w:rsidR="003E3DAD">
        <w:rPr>
          <w:lang w:val="en-IE"/>
        </w:rPr>
        <w:t xml:space="preserve">  </w:t>
      </w:r>
      <w:r>
        <w:rPr>
          <w:lang w:val="en-IE"/>
        </w:rPr>
        <w:t xml:space="preserve"> </w:t>
      </w:r>
      <w:r w:rsidRPr="00391D77">
        <w:rPr>
          <w:lang w:val="en-IE"/>
        </w:rPr>
        <w:t xml:space="preserve">510 appointments </w:t>
      </w:r>
    </w:p>
    <w:p w:rsidR="00391D77" w:rsidRDefault="00395252" w:rsidP="00391D77">
      <w:pPr>
        <w:rPr>
          <w:lang w:val="en-IE"/>
        </w:rPr>
      </w:pPr>
      <w:r>
        <w:rPr>
          <w:lang w:val="en-IE"/>
        </w:rPr>
        <w:br w:type="page"/>
      </w:r>
      <w:r>
        <w:rPr>
          <w:lang w:val="en-IE"/>
        </w:rPr>
        <w:lastRenderedPageBreak/>
        <w:t>The Afforestation clinics were promoted using many different medium. Each clinic attendee were asked where the</w:t>
      </w:r>
      <w:r w:rsidR="003E3DAD">
        <w:rPr>
          <w:lang w:val="en-IE"/>
        </w:rPr>
        <w:t xml:space="preserve">y heard a about the clinic and </w:t>
      </w:r>
      <w:r w:rsidR="003E3DAD" w:rsidRPr="003E3DAD">
        <w:rPr>
          <w:i/>
          <w:lang w:val="en-IE"/>
        </w:rPr>
        <w:t>F</w:t>
      </w:r>
      <w:r w:rsidRPr="003E3DAD">
        <w:rPr>
          <w:i/>
          <w:lang w:val="en-IE"/>
        </w:rPr>
        <w:t>igure 3</w:t>
      </w:r>
      <w:r>
        <w:rPr>
          <w:lang w:val="en-IE"/>
        </w:rPr>
        <w:t xml:space="preserve"> outlines the feedback. </w:t>
      </w:r>
      <w:r w:rsidR="003E3DAD">
        <w:rPr>
          <w:lang w:val="en-IE"/>
        </w:rPr>
        <w:t xml:space="preserve">The </w:t>
      </w:r>
      <w:r>
        <w:rPr>
          <w:lang w:val="en-IE"/>
        </w:rPr>
        <w:t xml:space="preserve">Department of Agriculture </w:t>
      </w:r>
      <w:r w:rsidR="003E3DAD">
        <w:rPr>
          <w:lang w:val="en-IE"/>
        </w:rPr>
        <w:t>Food and Marine used their general farmer database (not forest owners) text message facility to promote the clinics and this proved to be a very effective method where 20% of clinic attendee</w:t>
      </w:r>
      <w:r w:rsidR="0012256C">
        <w:rPr>
          <w:lang w:val="en-IE"/>
        </w:rPr>
        <w:t>s</w:t>
      </w:r>
      <w:r w:rsidR="003E3DAD">
        <w:rPr>
          <w:lang w:val="en-IE"/>
        </w:rPr>
        <w:t xml:space="preserve"> said they heard about the clinics by DAFM text.</w:t>
      </w:r>
      <w:r>
        <w:rPr>
          <w:lang w:val="en-IE"/>
        </w:rPr>
        <w:t xml:space="preserve"> </w:t>
      </w:r>
    </w:p>
    <w:p w:rsidR="00395252" w:rsidRPr="00391D77" w:rsidRDefault="00683C76" w:rsidP="00EE38BD">
      <w:pPr>
        <w:tabs>
          <w:tab w:val="left" w:pos="1980"/>
          <w:tab w:val="left" w:pos="6480"/>
        </w:tabs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>
            <wp:extent cx="2916555" cy="3227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0" t="2943" r="14650" b="5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91D77" w:rsidRDefault="003E3DAD">
      <w:r w:rsidRPr="003E3DAD">
        <w:rPr>
          <w:b/>
          <w:i/>
        </w:rPr>
        <w:t>Figure 3</w:t>
      </w:r>
      <w:r>
        <w:t>: Promotion of clinics and its effectiveness</w:t>
      </w:r>
    </w:p>
    <w:p w:rsidR="003E3DAD" w:rsidRDefault="003E3DAD"/>
    <w:p w:rsidR="00EE38BD" w:rsidRDefault="00EE38BD">
      <w:r>
        <w:t xml:space="preserve">Each Teagasc forestry development officer recorded basic details of each clinic. Included in this was the proposed area of land to be planted. </w:t>
      </w:r>
      <w:r w:rsidRPr="00EE38BD">
        <w:rPr>
          <w:i/>
        </w:rPr>
        <w:t>Figure 4</w:t>
      </w:r>
      <w:r>
        <w:t xml:space="preserve"> shows the geographical spread of proposed planting (of those attending 2013 clinics) and also the average size </w:t>
      </w:r>
      <w:r w:rsidR="0012256C">
        <w:t xml:space="preserve">of </w:t>
      </w:r>
      <w:r>
        <w:t xml:space="preserve">proposed planting. The overall average size of proposed planting sites was 9.45ha.  </w:t>
      </w:r>
    </w:p>
    <w:p w:rsidR="00EE38BD" w:rsidRDefault="00EE38BD"/>
    <w:p w:rsidR="003E3DAD" w:rsidRDefault="00683C76" w:rsidP="00EE38BD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2991485" cy="2580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1" t="9085" r="18321" b="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E38BD" w:rsidRDefault="00EE38BD" w:rsidP="00EE38BD">
      <w:pPr>
        <w:rPr>
          <w:b/>
          <w:i/>
        </w:rPr>
      </w:pPr>
    </w:p>
    <w:p w:rsidR="00EE38BD" w:rsidRDefault="00EE38BD" w:rsidP="00EE38BD">
      <w:r w:rsidRPr="00EE38BD">
        <w:rPr>
          <w:b/>
          <w:i/>
        </w:rPr>
        <w:t>Figure 4</w:t>
      </w:r>
      <w:r>
        <w:t>: Geographic spread of proposed land to be planted- Teagasc Clinics 2013.</w:t>
      </w:r>
    </w:p>
    <w:p w:rsidR="00EE38BD" w:rsidRDefault="00EE38BD" w:rsidP="00EE38BD">
      <w:r>
        <w:br w:type="page"/>
      </w:r>
      <w:r>
        <w:lastRenderedPageBreak/>
        <w:t>Those involved with promoting afforestation are familiar with the many questions that are asked</w:t>
      </w:r>
      <w:r w:rsidR="0012256C">
        <w:t>,</w:t>
      </w:r>
      <w:r>
        <w:t xml:space="preserve"> time and time again by landowners who have little knowledge of growing trees or the afforestation grant scheme. </w:t>
      </w:r>
      <w:r w:rsidR="00B454E6">
        <w:t>The following questions were the predominant issues that were discussed during the 2013 clinics:</w:t>
      </w:r>
    </w:p>
    <w:p w:rsidR="00B454E6" w:rsidRDefault="00B454E6" w:rsidP="00EE38BD"/>
    <w:p w:rsidR="00B454E6" w:rsidRPr="00B454E6" w:rsidRDefault="00B454E6" w:rsidP="00B454E6">
      <w:pPr>
        <w:numPr>
          <w:ilvl w:val="0"/>
          <w:numId w:val="1"/>
        </w:numPr>
      </w:pPr>
      <w:r w:rsidRPr="00B454E6">
        <w:t>What does the grant cover/ how much is it?</w:t>
      </w:r>
    </w:p>
    <w:p w:rsidR="00B454E6" w:rsidRPr="00B454E6" w:rsidRDefault="00B454E6" w:rsidP="00B454E6">
      <w:pPr>
        <w:numPr>
          <w:ilvl w:val="0"/>
          <w:numId w:val="1"/>
        </w:numPr>
      </w:pPr>
      <w:r w:rsidRPr="00B454E6">
        <w:t>Premiums – are they guaranteed?</w:t>
      </w:r>
    </w:p>
    <w:p w:rsidR="00B454E6" w:rsidRPr="00B454E6" w:rsidRDefault="00B454E6" w:rsidP="00B454E6">
      <w:pPr>
        <w:numPr>
          <w:ilvl w:val="0"/>
          <w:numId w:val="1"/>
        </w:numPr>
      </w:pPr>
      <w:r>
        <w:t>How do you q</w:t>
      </w:r>
      <w:r w:rsidRPr="00B454E6">
        <w:t>ualif</w:t>
      </w:r>
      <w:r>
        <w:t>y</w:t>
      </w:r>
      <w:r w:rsidRPr="00B454E6">
        <w:t xml:space="preserve"> for farmer rate</w:t>
      </w:r>
      <w:r>
        <w:t xml:space="preserve"> of premium</w:t>
      </w:r>
      <w:r w:rsidRPr="00B454E6">
        <w:t>?</w:t>
      </w:r>
    </w:p>
    <w:p w:rsidR="00B454E6" w:rsidRPr="00B454E6" w:rsidRDefault="00B454E6" w:rsidP="00B454E6">
      <w:pPr>
        <w:numPr>
          <w:ilvl w:val="0"/>
          <w:numId w:val="1"/>
        </w:numPr>
      </w:pPr>
      <w:r>
        <w:rPr>
          <w:lang w:val="en-IE"/>
        </w:rPr>
        <w:t>Is there planning permission required</w:t>
      </w:r>
      <w:r w:rsidRPr="00B454E6">
        <w:rPr>
          <w:lang w:val="en-IE"/>
        </w:rPr>
        <w:t>?</w:t>
      </w:r>
    </w:p>
    <w:p w:rsidR="00B454E6" w:rsidRPr="00B454E6" w:rsidRDefault="00B454E6" w:rsidP="00B454E6">
      <w:pPr>
        <w:numPr>
          <w:ilvl w:val="0"/>
          <w:numId w:val="1"/>
        </w:numPr>
      </w:pPr>
      <w:r w:rsidRPr="00B454E6">
        <w:t>What happens after 20 years?</w:t>
      </w:r>
    </w:p>
    <w:p w:rsidR="00B454E6" w:rsidRPr="00B454E6" w:rsidRDefault="00B454E6" w:rsidP="00B454E6">
      <w:pPr>
        <w:numPr>
          <w:ilvl w:val="0"/>
          <w:numId w:val="1"/>
        </w:numPr>
      </w:pPr>
      <w:r w:rsidRPr="00B454E6">
        <w:t xml:space="preserve">Who </w:t>
      </w:r>
      <w:r>
        <w:t xml:space="preserve">carries out the </w:t>
      </w:r>
      <w:r w:rsidRPr="00B454E6">
        <w:t>planting</w:t>
      </w:r>
      <w:r>
        <w:t>?</w:t>
      </w:r>
      <w:r w:rsidRPr="00B454E6">
        <w:t xml:space="preserve"> </w:t>
      </w:r>
    </w:p>
    <w:p w:rsidR="00B454E6" w:rsidRPr="00B454E6" w:rsidRDefault="00B454E6" w:rsidP="00B454E6">
      <w:pPr>
        <w:numPr>
          <w:ilvl w:val="0"/>
          <w:numId w:val="1"/>
        </w:numPr>
      </w:pPr>
      <w:r>
        <w:t>What is the v</w:t>
      </w:r>
      <w:r w:rsidRPr="00B454E6">
        <w:t>alue of planted land</w:t>
      </w:r>
      <w:r>
        <w:t>?</w:t>
      </w:r>
    </w:p>
    <w:p w:rsidR="00B454E6" w:rsidRDefault="00B454E6" w:rsidP="00B454E6">
      <w:pPr>
        <w:numPr>
          <w:ilvl w:val="0"/>
          <w:numId w:val="1"/>
        </w:numPr>
      </w:pPr>
      <w:r w:rsidRPr="00B454E6">
        <w:t>S</w:t>
      </w:r>
      <w:r>
        <w:t xml:space="preserve">ingle Farm Payment and its </w:t>
      </w:r>
      <w:r w:rsidRPr="00B454E6">
        <w:t>interaction with forestry</w:t>
      </w:r>
    </w:p>
    <w:p w:rsidR="00B454E6" w:rsidRPr="00B454E6" w:rsidRDefault="00B454E6" w:rsidP="00B454E6">
      <w:pPr>
        <w:numPr>
          <w:ilvl w:val="0"/>
          <w:numId w:val="1"/>
        </w:numPr>
      </w:pPr>
      <w:r w:rsidRPr="00B454E6">
        <w:t>CAP reform</w:t>
      </w:r>
      <w:r w:rsidR="0012256C">
        <w:t>;</w:t>
      </w:r>
      <w:r w:rsidRPr="00B454E6">
        <w:t xml:space="preserve"> what</w:t>
      </w:r>
      <w:r>
        <w:t xml:space="preserve"> are the implication re forestry?</w:t>
      </w:r>
    </w:p>
    <w:p w:rsidR="00B454E6" w:rsidRPr="00B454E6" w:rsidRDefault="00B454E6" w:rsidP="00B454E6">
      <w:pPr>
        <w:numPr>
          <w:ilvl w:val="0"/>
          <w:numId w:val="1"/>
        </w:numPr>
      </w:pPr>
      <w:r w:rsidRPr="00B454E6">
        <w:t xml:space="preserve">Why </w:t>
      </w:r>
      <w:r>
        <w:t xml:space="preserve">is there a </w:t>
      </w:r>
      <w:r w:rsidRPr="00B454E6">
        <w:t>replant</w:t>
      </w:r>
      <w:r>
        <w:t>ing</w:t>
      </w:r>
      <w:r w:rsidRPr="00B454E6">
        <w:t xml:space="preserve"> obligation- might that change?</w:t>
      </w:r>
    </w:p>
    <w:p w:rsidR="00B454E6" w:rsidRPr="00B454E6" w:rsidRDefault="00B454E6" w:rsidP="00B454E6">
      <w:pPr>
        <w:numPr>
          <w:ilvl w:val="0"/>
          <w:numId w:val="1"/>
        </w:numPr>
      </w:pPr>
      <w:r w:rsidRPr="00B454E6">
        <w:t>What’s the minimum size?</w:t>
      </w:r>
    </w:p>
    <w:p w:rsidR="00B454E6" w:rsidRPr="00B454E6" w:rsidRDefault="00B454E6" w:rsidP="00B454E6">
      <w:pPr>
        <w:numPr>
          <w:ilvl w:val="0"/>
          <w:numId w:val="1"/>
        </w:numPr>
      </w:pPr>
      <w:r w:rsidRPr="00B454E6">
        <w:t>What species</w:t>
      </w:r>
      <w:r>
        <w:t xml:space="preserve"> should I plant (</w:t>
      </w:r>
      <w:r w:rsidRPr="00B454E6">
        <w:t>in context of ban on ash</w:t>
      </w:r>
      <w:r>
        <w:t>)</w:t>
      </w:r>
      <w:r w:rsidRPr="00B454E6">
        <w:t xml:space="preserve">? </w:t>
      </w:r>
    </w:p>
    <w:p w:rsidR="00B454E6" w:rsidRDefault="00B454E6" w:rsidP="00B454E6">
      <w:pPr>
        <w:ind w:left="57"/>
      </w:pPr>
    </w:p>
    <w:p w:rsidR="00B454E6" w:rsidRDefault="00B454E6" w:rsidP="00B454E6">
      <w:pPr>
        <w:ind w:left="57"/>
      </w:pPr>
      <w:r>
        <w:t>The above questions reflect what landowners have to consider in the context of making a permanent land use change to forestry. It also reflects the risk/</w:t>
      </w:r>
      <w:r w:rsidR="00886EB0">
        <w:t>‘</w:t>
      </w:r>
      <w:r>
        <w:t xml:space="preserve">leap of faith’ required </w:t>
      </w:r>
      <w:r w:rsidR="00886EB0">
        <w:t>to make</w:t>
      </w:r>
      <w:r>
        <w:t xml:space="preserve"> this permanent land</w:t>
      </w:r>
      <w:r w:rsidR="00886EB0">
        <w:t xml:space="preserve"> </w:t>
      </w:r>
      <w:r>
        <w:t xml:space="preserve">use change and so </w:t>
      </w:r>
      <w:r w:rsidR="00886EB0">
        <w:t xml:space="preserve">forms </w:t>
      </w:r>
      <w:r>
        <w:t xml:space="preserve">part of the reason why landowners are reluctant to make the decision to plant even after they have looked in detail </w:t>
      </w:r>
      <w:r w:rsidR="0012256C">
        <w:t xml:space="preserve">at </w:t>
      </w:r>
      <w:r>
        <w:t xml:space="preserve">the incentives in place to plant.  </w:t>
      </w:r>
      <w:r w:rsidR="00886EB0">
        <w:t xml:space="preserve">This decision to plant is often being considered at a turbulent time in peoples lives. Many attendees spoke about the context in which they were considering forestry </w:t>
      </w:r>
      <w:proofErr w:type="spellStart"/>
      <w:r w:rsidR="00886EB0">
        <w:t>eg</w:t>
      </w:r>
      <w:proofErr w:type="spellEnd"/>
      <w:r w:rsidR="00886EB0">
        <w:t xml:space="preserve"> health issues, recent bereavement, no successor to farm. The 2013 clinics were held in the middle of a serious fodder shortage on Irish farms and so attitudes </w:t>
      </w:r>
      <w:r w:rsidR="00AC361B">
        <w:t>to farming</w:t>
      </w:r>
      <w:r w:rsidR="0012256C">
        <w:t>,</w:t>
      </w:r>
      <w:r w:rsidR="00AC361B">
        <w:t xml:space="preserve"> on</w:t>
      </w:r>
      <w:r w:rsidR="00886EB0">
        <w:t xml:space="preserve"> somewhat marginal farm land was</w:t>
      </w:r>
      <w:r w:rsidR="00AC361B">
        <w:t xml:space="preserve"> quite negative.</w:t>
      </w:r>
      <w:r w:rsidR="00886EB0">
        <w:t xml:space="preserve"> </w:t>
      </w:r>
    </w:p>
    <w:p w:rsidR="00AC361B" w:rsidRDefault="00AC361B" w:rsidP="00B454E6">
      <w:pPr>
        <w:ind w:left="57"/>
      </w:pPr>
    </w:p>
    <w:p w:rsidR="00AC361B" w:rsidRPr="00AC361B" w:rsidRDefault="00AC361B" w:rsidP="00B454E6">
      <w:pPr>
        <w:ind w:left="57"/>
        <w:rPr>
          <w:b/>
          <w:i/>
        </w:rPr>
      </w:pPr>
      <w:r w:rsidRPr="00AC361B">
        <w:rPr>
          <w:b/>
          <w:i/>
        </w:rPr>
        <w:t>Conclusion</w:t>
      </w:r>
    </w:p>
    <w:p w:rsidR="00AC361B" w:rsidRPr="00AC361B" w:rsidRDefault="00AC361B" w:rsidP="00AC361B">
      <w:pPr>
        <w:ind w:left="57"/>
        <w:rPr>
          <w:lang w:val="en-IE"/>
        </w:rPr>
      </w:pPr>
      <w:r>
        <w:rPr>
          <w:lang w:val="en-IE"/>
        </w:rPr>
        <w:t>Figure 5 shows the breakdown of how the forestry development</w:t>
      </w:r>
      <w:r w:rsidR="0012256C">
        <w:rPr>
          <w:lang w:val="en-IE"/>
        </w:rPr>
        <w:t xml:space="preserve"> officers </w:t>
      </w:r>
      <w:r>
        <w:rPr>
          <w:lang w:val="en-IE"/>
        </w:rPr>
        <w:t xml:space="preserve">perceived </w:t>
      </w:r>
      <w:r w:rsidR="0012256C">
        <w:rPr>
          <w:lang w:val="en-IE"/>
        </w:rPr>
        <w:t>what the result of each individual clinic was</w:t>
      </w:r>
      <w:r>
        <w:rPr>
          <w:lang w:val="en-IE"/>
        </w:rPr>
        <w:t>. 59% of all those to attended a clinic said they would progress to the next step</w:t>
      </w:r>
      <w:r w:rsidR="0012256C">
        <w:rPr>
          <w:lang w:val="en-IE"/>
        </w:rPr>
        <w:t xml:space="preserve"> </w:t>
      </w:r>
      <w:proofErr w:type="spellStart"/>
      <w:r w:rsidR="0012256C">
        <w:rPr>
          <w:lang w:val="en-IE"/>
        </w:rPr>
        <w:t>ie</w:t>
      </w:r>
      <w:proofErr w:type="spellEnd"/>
      <w:r>
        <w:rPr>
          <w:lang w:val="en-IE"/>
        </w:rPr>
        <w:t xml:space="preserve"> apply for an afforestation grant. Over all there was a l</w:t>
      </w:r>
      <w:r w:rsidRPr="00AC361B">
        <w:rPr>
          <w:lang w:val="en-IE"/>
        </w:rPr>
        <w:t>arge increase in afforestation queries</w:t>
      </w:r>
      <w:r>
        <w:rPr>
          <w:lang w:val="en-IE"/>
        </w:rPr>
        <w:t xml:space="preserve"> from the previous clinics in 2012 and these were reported as being</w:t>
      </w:r>
      <w:r w:rsidRPr="00AC361B">
        <w:rPr>
          <w:lang w:val="en-IE"/>
        </w:rPr>
        <w:t xml:space="preserve"> ‘new people’</w:t>
      </w:r>
      <w:r>
        <w:rPr>
          <w:lang w:val="en-IE"/>
        </w:rPr>
        <w:t xml:space="preserve">; in other words had never sought Teagasc forestry advice previously. </w:t>
      </w:r>
      <w:r w:rsidRPr="00AC361B">
        <w:rPr>
          <w:lang w:val="en-IE"/>
        </w:rPr>
        <w:t xml:space="preserve">Over 3500ha </w:t>
      </w:r>
      <w:r>
        <w:rPr>
          <w:lang w:val="en-IE"/>
        </w:rPr>
        <w:t xml:space="preserve">was </w:t>
      </w:r>
      <w:r w:rsidRPr="00AC361B">
        <w:rPr>
          <w:lang w:val="en-IE"/>
        </w:rPr>
        <w:t>considered for forestry</w:t>
      </w:r>
      <w:r>
        <w:rPr>
          <w:lang w:val="en-IE"/>
        </w:rPr>
        <w:t xml:space="preserve"> during the clinics in 2013 with an average size of 9.45ha. How this transfers into actual planting remains to be seen. </w:t>
      </w:r>
    </w:p>
    <w:p w:rsidR="00AC361B" w:rsidRPr="00AC361B" w:rsidRDefault="00AC361B" w:rsidP="00AC361B">
      <w:pPr>
        <w:ind w:left="57"/>
        <w:rPr>
          <w:lang w:val="en-IE"/>
        </w:rPr>
      </w:pPr>
    </w:p>
    <w:p w:rsidR="00886EB0" w:rsidRPr="00AC361B" w:rsidRDefault="00886EB0" w:rsidP="00B454E6">
      <w:pPr>
        <w:ind w:left="57"/>
        <w:rPr>
          <w:lang w:val="en-IE"/>
        </w:rPr>
      </w:pPr>
    </w:p>
    <w:p w:rsidR="00886EB0" w:rsidRDefault="00683C76" w:rsidP="00886EB0">
      <w:pPr>
        <w:ind w:left="57"/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3285490" cy="32721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0" t="4854" r="22470" b="1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C361B" w:rsidRDefault="00AC361B" w:rsidP="00886EB0">
      <w:pPr>
        <w:ind w:left="57"/>
        <w:jc w:val="center"/>
      </w:pPr>
    </w:p>
    <w:p w:rsidR="00886EB0" w:rsidRDefault="00886EB0" w:rsidP="00886EB0">
      <w:pPr>
        <w:tabs>
          <w:tab w:val="left" w:pos="2340"/>
          <w:tab w:val="left" w:pos="5760"/>
          <w:tab w:val="left" w:pos="5940"/>
        </w:tabs>
        <w:ind w:left="57"/>
      </w:pPr>
      <w:r w:rsidRPr="00886EB0">
        <w:rPr>
          <w:b/>
          <w:i/>
        </w:rPr>
        <w:t>Figure 5</w:t>
      </w:r>
      <w:r>
        <w:t>: Outcome of 2013 Teagasc Forestry Clinics</w:t>
      </w:r>
    </w:p>
    <w:p w:rsidR="00886EB0" w:rsidRPr="00886EB0" w:rsidRDefault="00886EB0" w:rsidP="00886EB0">
      <w:pPr>
        <w:tabs>
          <w:tab w:val="left" w:pos="2340"/>
          <w:tab w:val="left" w:pos="5760"/>
          <w:tab w:val="left" w:pos="5940"/>
        </w:tabs>
        <w:ind w:left="57"/>
      </w:pPr>
    </w:p>
    <w:sectPr w:rsidR="00886EB0" w:rsidRPr="00886E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7C6A"/>
    <w:multiLevelType w:val="hybridMultilevel"/>
    <w:tmpl w:val="666EED1C"/>
    <w:lvl w:ilvl="0" w:tplc="1ACC8B9E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66F61"/>
    <w:multiLevelType w:val="hybridMultilevel"/>
    <w:tmpl w:val="699ACB72"/>
    <w:lvl w:ilvl="0" w:tplc="805E3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A5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88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F65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E6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6B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C4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CE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DE6287"/>
    <w:multiLevelType w:val="hybridMultilevel"/>
    <w:tmpl w:val="2F8EC0CC"/>
    <w:lvl w:ilvl="0" w:tplc="E992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B8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6E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4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EE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C8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AB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64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6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D35A11"/>
    <w:multiLevelType w:val="hybridMultilevel"/>
    <w:tmpl w:val="FEB8A26A"/>
    <w:lvl w:ilvl="0" w:tplc="1ACC8B9E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769CA"/>
    <w:multiLevelType w:val="hybridMultilevel"/>
    <w:tmpl w:val="57DE7334"/>
    <w:lvl w:ilvl="0" w:tplc="F612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2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8C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00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4F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2E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28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48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DFD510C"/>
    <w:multiLevelType w:val="hybridMultilevel"/>
    <w:tmpl w:val="E1AE5DEA"/>
    <w:lvl w:ilvl="0" w:tplc="778A5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2F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CAF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03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E2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ED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C8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29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E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E50F23"/>
    <w:multiLevelType w:val="hybridMultilevel"/>
    <w:tmpl w:val="DE089208"/>
    <w:lvl w:ilvl="0" w:tplc="1ACC8B9E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A2435"/>
    <w:multiLevelType w:val="hybridMultilevel"/>
    <w:tmpl w:val="885A8E2A"/>
    <w:lvl w:ilvl="0" w:tplc="739CC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2D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6E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C7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CC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63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CD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47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6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E8"/>
    <w:rsid w:val="00000680"/>
    <w:rsid w:val="00004C68"/>
    <w:rsid w:val="00011159"/>
    <w:rsid w:val="000115C3"/>
    <w:rsid w:val="000172F0"/>
    <w:rsid w:val="00020BF1"/>
    <w:rsid w:val="00022FFE"/>
    <w:rsid w:val="000267B9"/>
    <w:rsid w:val="00027C38"/>
    <w:rsid w:val="000330ED"/>
    <w:rsid w:val="00036B1B"/>
    <w:rsid w:val="00036BB1"/>
    <w:rsid w:val="0004031B"/>
    <w:rsid w:val="00040F08"/>
    <w:rsid w:val="000421B8"/>
    <w:rsid w:val="00043722"/>
    <w:rsid w:val="000445BA"/>
    <w:rsid w:val="000448E3"/>
    <w:rsid w:val="00047B7F"/>
    <w:rsid w:val="000502E0"/>
    <w:rsid w:val="00050650"/>
    <w:rsid w:val="00051F8A"/>
    <w:rsid w:val="00052666"/>
    <w:rsid w:val="000618D6"/>
    <w:rsid w:val="0007099B"/>
    <w:rsid w:val="00072057"/>
    <w:rsid w:val="000724F4"/>
    <w:rsid w:val="00073764"/>
    <w:rsid w:val="00076297"/>
    <w:rsid w:val="000816EE"/>
    <w:rsid w:val="00082163"/>
    <w:rsid w:val="00082601"/>
    <w:rsid w:val="000870B8"/>
    <w:rsid w:val="00087B49"/>
    <w:rsid w:val="00090812"/>
    <w:rsid w:val="00096DE3"/>
    <w:rsid w:val="000A0B51"/>
    <w:rsid w:val="000A2C6A"/>
    <w:rsid w:val="000A31E2"/>
    <w:rsid w:val="000A37D7"/>
    <w:rsid w:val="000A4802"/>
    <w:rsid w:val="000C40EA"/>
    <w:rsid w:val="000D149D"/>
    <w:rsid w:val="000D2207"/>
    <w:rsid w:val="000D3199"/>
    <w:rsid w:val="000D634A"/>
    <w:rsid w:val="000D6473"/>
    <w:rsid w:val="000E148D"/>
    <w:rsid w:val="000E2CB8"/>
    <w:rsid w:val="000E4B87"/>
    <w:rsid w:val="000F0830"/>
    <w:rsid w:val="000F2800"/>
    <w:rsid w:val="000F3E5B"/>
    <w:rsid w:val="00101406"/>
    <w:rsid w:val="00102034"/>
    <w:rsid w:val="001038DF"/>
    <w:rsid w:val="00103B7A"/>
    <w:rsid w:val="00104123"/>
    <w:rsid w:val="00106C1E"/>
    <w:rsid w:val="00110393"/>
    <w:rsid w:val="00114DC3"/>
    <w:rsid w:val="0011576C"/>
    <w:rsid w:val="00121C3C"/>
    <w:rsid w:val="0012256C"/>
    <w:rsid w:val="001251E8"/>
    <w:rsid w:val="00127EC4"/>
    <w:rsid w:val="00131C80"/>
    <w:rsid w:val="0013551C"/>
    <w:rsid w:val="00141231"/>
    <w:rsid w:val="0015088B"/>
    <w:rsid w:val="00150F0F"/>
    <w:rsid w:val="00170C83"/>
    <w:rsid w:val="00171BF7"/>
    <w:rsid w:val="00177283"/>
    <w:rsid w:val="001867D1"/>
    <w:rsid w:val="00187AF4"/>
    <w:rsid w:val="00187C4F"/>
    <w:rsid w:val="001937D5"/>
    <w:rsid w:val="00193DD3"/>
    <w:rsid w:val="00195AC2"/>
    <w:rsid w:val="00196536"/>
    <w:rsid w:val="00196D5E"/>
    <w:rsid w:val="001A0860"/>
    <w:rsid w:val="001A13FF"/>
    <w:rsid w:val="001A1C35"/>
    <w:rsid w:val="001A3573"/>
    <w:rsid w:val="001A471B"/>
    <w:rsid w:val="001B27F1"/>
    <w:rsid w:val="001B46F5"/>
    <w:rsid w:val="001C0009"/>
    <w:rsid w:val="001C0DCA"/>
    <w:rsid w:val="001C2C65"/>
    <w:rsid w:val="001C3555"/>
    <w:rsid w:val="001C5729"/>
    <w:rsid w:val="001C587F"/>
    <w:rsid w:val="001D26C1"/>
    <w:rsid w:val="001D4A8E"/>
    <w:rsid w:val="001D50A8"/>
    <w:rsid w:val="001D5EAB"/>
    <w:rsid w:val="001D6F49"/>
    <w:rsid w:val="001E41E7"/>
    <w:rsid w:val="001E5B45"/>
    <w:rsid w:val="001E5C73"/>
    <w:rsid w:val="001E7D5E"/>
    <w:rsid w:val="001F06C2"/>
    <w:rsid w:val="001F0B94"/>
    <w:rsid w:val="001F1A0F"/>
    <w:rsid w:val="001F44E0"/>
    <w:rsid w:val="001F49B2"/>
    <w:rsid w:val="00201D60"/>
    <w:rsid w:val="00203447"/>
    <w:rsid w:val="0020691A"/>
    <w:rsid w:val="00206EEA"/>
    <w:rsid w:val="00211A21"/>
    <w:rsid w:val="00212594"/>
    <w:rsid w:val="00212F1D"/>
    <w:rsid w:val="0021407E"/>
    <w:rsid w:val="00215FA2"/>
    <w:rsid w:val="0022182E"/>
    <w:rsid w:val="0022356A"/>
    <w:rsid w:val="0022538A"/>
    <w:rsid w:val="0022558C"/>
    <w:rsid w:val="00231CE9"/>
    <w:rsid w:val="00231DA5"/>
    <w:rsid w:val="00232586"/>
    <w:rsid w:val="0023389D"/>
    <w:rsid w:val="00235152"/>
    <w:rsid w:val="002432D4"/>
    <w:rsid w:val="00245E94"/>
    <w:rsid w:val="00247E70"/>
    <w:rsid w:val="0025353D"/>
    <w:rsid w:val="002558C9"/>
    <w:rsid w:val="00256732"/>
    <w:rsid w:val="0025690D"/>
    <w:rsid w:val="002615ED"/>
    <w:rsid w:val="00264D58"/>
    <w:rsid w:val="002724DD"/>
    <w:rsid w:val="00276A05"/>
    <w:rsid w:val="00281EB7"/>
    <w:rsid w:val="00281F47"/>
    <w:rsid w:val="00286160"/>
    <w:rsid w:val="00286F89"/>
    <w:rsid w:val="002923EF"/>
    <w:rsid w:val="00292764"/>
    <w:rsid w:val="002A0EE8"/>
    <w:rsid w:val="002B3335"/>
    <w:rsid w:val="002B4095"/>
    <w:rsid w:val="002B43CD"/>
    <w:rsid w:val="002B5262"/>
    <w:rsid w:val="002B7251"/>
    <w:rsid w:val="002C189E"/>
    <w:rsid w:val="002C4A6E"/>
    <w:rsid w:val="002C5913"/>
    <w:rsid w:val="002C5F90"/>
    <w:rsid w:val="002C7C9D"/>
    <w:rsid w:val="002D5D9B"/>
    <w:rsid w:val="002E2095"/>
    <w:rsid w:val="002F05F4"/>
    <w:rsid w:val="002F1051"/>
    <w:rsid w:val="002F355C"/>
    <w:rsid w:val="002F50DB"/>
    <w:rsid w:val="002F6960"/>
    <w:rsid w:val="00301176"/>
    <w:rsid w:val="003035CE"/>
    <w:rsid w:val="00307549"/>
    <w:rsid w:val="00315389"/>
    <w:rsid w:val="003160A5"/>
    <w:rsid w:val="00325182"/>
    <w:rsid w:val="00326214"/>
    <w:rsid w:val="00330FB8"/>
    <w:rsid w:val="00331A30"/>
    <w:rsid w:val="00331FF3"/>
    <w:rsid w:val="00337092"/>
    <w:rsid w:val="00340ED9"/>
    <w:rsid w:val="0034199A"/>
    <w:rsid w:val="00344D44"/>
    <w:rsid w:val="00346538"/>
    <w:rsid w:val="00346C94"/>
    <w:rsid w:val="00350527"/>
    <w:rsid w:val="00353AD9"/>
    <w:rsid w:val="00353B31"/>
    <w:rsid w:val="00353C5F"/>
    <w:rsid w:val="00360FCB"/>
    <w:rsid w:val="0036200C"/>
    <w:rsid w:val="00366913"/>
    <w:rsid w:val="0036780C"/>
    <w:rsid w:val="00371246"/>
    <w:rsid w:val="00382170"/>
    <w:rsid w:val="00383756"/>
    <w:rsid w:val="00383E15"/>
    <w:rsid w:val="003849F9"/>
    <w:rsid w:val="00387CB5"/>
    <w:rsid w:val="00391D77"/>
    <w:rsid w:val="00395252"/>
    <w:rsid w:val="003971A7"/>
    <w:rsid w:val="003A5009"/>
    <w:rsid w:val="003B5457"/>
    <w:rsid w:val="003B7926"/>
    <w:rsid w:val="003C1AB4"/>
    <w:rsid w:val="003C2199"/>
    <w:rsid w:val="003C2B84"/>
    <w:rsid w:val="003C34CD"/>
    <w:rsid w:val="003C4482"/>
    <w:rsid w:val="003D00B2"/>
    <w:rsid w:val="003D19F9"/>
    <w:rsid w:val="003D30B2"/>
    <w:rsid w:val="003D6361"/>
    <w:rsid w:val="003D65A3"/>
    <w:rsid w:val="003D6C69"/>
    <w:rsid w:val="003E3DAD"/>
    <w:rsid w:val="003E5750"/>
    <w:rsid w:val="003F025A"/>
    <w:rsid w:val="003F063F"/>
    <w:rsid w:val="003F1DA3"/>
    <w:rsid w:val="003F2DFC"/>
    <w:rsid w:val="003F6415"/>
    <w:rsid w:val="00400278"/>
    <w:rsid w:val="00400CA9"/>
    <w:rsid w:val="00402A70"/>
    <w:rsid w:val="004068BB"/>
    <w:rsid w:val="0041239C"/>
    <w:rsid w:val="004124CC"/>
    <w:rsid w:val="004132A5"/>
    <w:rsid w:val="00413FAE"/>
    <w:rsid w:val="004230FD"/>
    <w:rsid w:val="004233F0"/>
    <w:rsid w:val="00423875"/>
    <w:rsid w:val="00423C56"/>
    <w:rsid w:val="0043071F"/>
    <w:rsid w:val="00434B9D"/>
    <w:rsid w:val="00434E69"/>
    <w:rsid w:val="0043557F"/>
    <w:rsid w:val="00435F87"/>
    <w:rsid w:val="0043768D"/>
    <w:rsid w:val="00440FCF"/>
    <w:rsid w:val="00441F26"/>
    <w:rsid w:val="00444A58"/>
    <w:rsid w:val="00446AF1"/>
    <w:rsid w:val="00450DD7"/>
    <w:rsid w:val="004531A2"/>
    <w:rsid w:val="00454CBE"/>
    <w:rsid w:val="00460B87"/>
    <w:rsid w:val="00462EAD"/>
    <w:rsid w:val="00463296"/>
    <w:rsid w:val="00464A5D"/>
    <w:rsid w:val="004655FE"/>
    <w:rsid w:val="0046742F"/>
    <w:rsid w:val="004723DD"/>
    <w:rsid w:val="00476E03"/>
    <w:rsid w:val="00480DA2"/>
    <w:rsid w:val="00487069"/>
    <w:rsid w:val="004910DE"/>
    <w:rsid w:val="00492E07"/>
    <w:rsid w:val="0049606D"/>
    <w:rsid w:val="00496323"/>
    <w:rsid w:val="004A0A6E"/>
    <w:rsid w:val="004A21D7"/>
    <w:rsid w:val="004A6130"/>
    <w:rsid w:val="004A7363"/>
    <w:rsid w:val="004B3EC9"/>
    <w:rsid w:val="004B5C9B"/>
    <w:rsid w:val="004B71C2"/>
    <w:rsid w:val="004C6C68"/>
    <w:rsid w:val="004D385F"/>
    <w:rsid w:val="004D7858"/>
    <w:rsid w:val="004D78B9"/>
    <w:rsid w:val="004E02CD"/>
    <w:rsid w:val="004E38BD"/>
    <w:rsid w:val="004E4D2E"/>
    <w:rsid w:val="004E6FED"/>
    <w:rsid w:val="004F2AFB"/>
    <w:rsid w:val="004F6B77"/>
    <w:rsid w:val="004F6DE7"/>
    <w:rsid w:val="005019D3"/>
    <w:rsid w:val="00504398"/>
    <w:rsid w:val="005131D2"/>
    <w:rsid w:val="00515D49"/>
    <w:rsid w:val="00517928"/>
    <w:rsid w:val="00524A33"/>
    <w:rsid w:val="00526372"/>
    <w:rsid w:val="00527953"/>
    <w:rsid w:val="00527D0A"/>
    <w:rsid w:val="00531484"/>
    <w:rsid w:val="005379D2"/>
    <w:rsid w:val="0054020D"/>
    <w:rsid w:val="00542372"/>
    <w:rsid w:val="00546C61"/>
    <w:rsid w:val="00560F1E"/>
    <w:rsid w:val="00562D6D"/>
    <w:rsid w:val="00564CD2"/>
    <w:rsid w:val="00566161"/>
    <w:rsid w:val="005726C8"/>
    <w:rsid w:val="0057381D"/>
    <w:rsid w:val="00580845"/>
    <w:rsid w:val="005858EE"/>
    <w:rsid w:val="00587130"/>
    <w:rsid w:val="00587791"/>
    <w:rsid w:val="00593A62"/>
    <w:rsid w:val="00593EA2"/>
    <w:rsid w:val="005A08E5"/>
    <w:rsid w:val="005A0EE4"/>
    <w:rsid w:val="005A45E4"/>
    <w:rsid w:val="005A46E3"/>
    <w:rsid w:val="005B0D91"/>
    <w:rsid w:val="005B410F"/>
    <w:rsid w:val="005B6F57"/>
    <w:rsid w:val="005B7DC6"/>
    <w:rsid w:val="005C0518"/>
    <w:rsid w:val="005C1DD1"/>
    <w:rsid w:val="005C311F"/>
    <w:rsid w:val="005C58A8"/>
    <w:rsid w:val="005C7648"/>
    <w:rsid w:val="005E29B1"/>
    <w:rsid w:val="005E2D4D"/>
    <w:rsid w:val="005E453A"/>
    <w:rsid w:val="005E59AB"/>
    <w:rsid w:val="005F5E35"/>
    <w:rsid w:val="005F67E5"/>
    <w:rsid w:val="00603F4D"/>
    <w:rsid w:val="006059D6"/>
    <w:rsid w:val="0060612B"/>
    <w:rsid w:val="00611D95"/>
    <w:rsid w:val="00613EDA"/>
    <w:rsid w:val="006152E2"/>
    <w:rsid w:val="00617FDC"/>
    <w:rsid w:val="00621904"/>
    <w:rsid w:val="00625B8A"/>
    <w:rsid w:val="00632573"/>
    <w:rsid w:val="00634A02"/>
    <w:rsid w:val="00636A17"/>
    <w:rsid w:val="006428F0"/>
    <w:rsid w:val="00643B88"/>
    <w:rsid w:val="00644165"/>
    <w:rsid w:val="006505BA"/>
    <w:rsid w:val="006566BF"/>
    <w:rsid w:val="006620D0"/>
    <w:rsid w:val="006640FA"/>
    <w:rsid w:val="0066642E"/>
    <w:rsid w:val="00667E65"/>
    <w:rsid w:val="00677A71"/>
    <w:rsid w:val="006802DD"/>
    <w:rsid w:val="00683C76"/>
    <w:rsid w:val="006841D4"/>
    <w:rsid w:val="00684FD0"/>
    <w:rsid w:val="00685B3F"/>
    <w:rsid w:val="00691920"/>
    <w:rsid w:val="006A17AD"/>
    <w:rsid w:val="006A3032"/>
    <w:rsid w:val="006A5137"/>
    <w:rsid w:val="006B6C2A"/>
    <w:rsid w:val="006B708D"/>
    <w:rsid w:val="006B750E"/>
    <w:rsid w:val="006D2CA1"/>
    <w:rsid w:val="006D3A7E"/>
    <w:rsid w:val="006D758B"/>
    <w:rsid w:val="006E4C2E"/>
    <w:rsid w:val="006F720E"/>
    <w:rsid w:val="007012C9"/>
    <w:rsid w:val="007064FB"/>
    <w:rsid w:val="007133EF"/>
    <w:rsid w:val="0071395E"/>
    <w:rsid w:val="0072290A"/>
    <w:rsid w:val="00726EFC"/>
    <w:rsid w:val="00735FB4"/>
    <w:rsid w:val="00740441"/>
    <w:rsid w:val="007536D5"/>
    <w:rsid w:val="00760539"/>
    <w:rsid w:val="0076168B"/>
    <w:rsid w:val="00763CBD"/>
    <w:rsid w:val="00764622"/>
    <w:rsid w:val="007663C9"/>
    <w:rsid w:val="007709A7"/>
    <w:rsid w:val="00772C1F"/>
    <w:rsid w:val="007777B5"/>
    <w:rsid w:val="0078161E"/>
    <w:rsid w:val="0078272F"/>
    <w:rsid w:val="00784ABA"/>
    <w:rsid w:val="00786A56"/>
    <w:rsid w:val="007928C3"/>
    <w:rsid w:val="00793FB4"/>
    <w:rsid w:val="007A09A3"/>
    <w:rsid w:val="007A42B1"/>
    <w:rsid w:val="007A5FAC"/>
    <w:rsid w:val="007B1454"/>
    <w:rsid w:val="007B1A59"/>
    <w:rsid w:val="007B6DA0"/>
    <w:rsid w:val="007C0517"/>
    <w:rsid w:val="007C118F"/>
    <w:rsid w:val="007C3866"/>
    <w:rsid w:val="007C4074"/>
    <w:rsid w:val="007C4811"/>
    <w:rsid w:val="007C6211"/>
    <w:rsid w:val="007C7E36"/>
    <w:rsid w:val="007D13AF"/>
    <w:rsid w:val="007D239D"/>
    <w:rsid w:val="007D629B"/>
    <w:rsid w:val="007E1180"/>
    <w:rsid w:val="007E5AFC"/>
    <w:rsid w:val="007E6A2F"/>
    <w:rsid w:val="007F0074"/>
    <w:rsid w:val="007F489F"/>
    <w:rsid w:val="007F4FA7"/>
    <w:rsid w:val="007F50D0"/>
    <w:rsid w:val="007F7BD9"/>
    <w:rsid w:val="008000DD"/>
    <w:rsid w:val="00800E34"/>
    <w:rsid w:val="00804EDC"/>
    <w:rsid w:val="00805656"/>
    <w:rsid w:val="008101DE"/>
    <w:rsid w:val="0081499B"/>
    <w:rsid w:val="00821FB6"/>
    <w:rsid w:val="0082682E"/>
    <w:rsid w:val="00827C2A"/>
    <w:rsid w:val="00830B97"/>
    <w:rsid w:val="008311E1"/>
    <w:rsid w:val="00835C9B"/>
    <w:rsid w:val="008406F6"/>
    <w:rsid w:val="00842291"/>
    <w:rsid w:val="00843AFD"/>
    <w:rsid w:val="00854BE4"/>
    <w:rsid w:val="008551C1"/>
    <w:rsid w:val="008555B6"/>
    <w:rsid w:val="008645ED"/>
    <w:rsid w:val="0086569F"/>
    <w:rsid w:val="008809B4"/>
    <w:rsid w:val="00881D40"/>
    <w:rsid w:val="008824E6"/>
    <w:rsid w:val="008834CF"/>
    <w:rsid w:val="00883CE9"/>
    <w:rsid w:val="00885DE1"/>
    <w:rsid w:val="00886EB0"/>
    <w:rsid w:val="0088795D"/>
    <w:rsid w:val="00890975"/>
    <w:rsid w:val="00893E0C"/>
    <w:rsid w:val="008A3695"/>
    <w:rsid w:val="008A4182"/>
    <w:rsid w:val="008B27BC"/>
    <w:rsid w:val="008C2C22"/>
    <w:rsid w:val="008C2F88"/>
    <w:rsid w:val="008C54A5"/>
    <w:rsid w:val="008D2269"/>
    <w:rsid w:val="008D3115"/>
    <w:rsid w:val="008D4F1D"/>
    <w:rsid w:val="008D7C66"/>
    <w:rsid w:val="008E046F"/>
    <w:rsid w:val="008E0D64"/>
    <w:rsid w:val="008E38FC"/>
    <w:rsid w:val="008E6AF3"/>
    <w:rsid w:val="008F03CB"/>
    <w:rsid w:val="008F1E41"/>
    <w:rsid w:val="008F2E84"/>
    <w:rsid w:val="008F6D5F"/>
    <w:rsid w:val="0090050D"/>
    <w:rsid w:val="00900652"/>
    <w:rsid w:val="009012FA"/>
    <w:rsid w:val="009014D3"/>
    <w:rsid w:val="00910594"/>
    <w:rsid w:val="00913CD5"/>
    <w:rsid w:val="00914D1C"/>
    <w:rsid w:val="009157B3"/>
    <w:rsid w:val="00921D54"/>
    <w:rsid w:val="0092483D"/>
    <w:rsid w:val="009312F2"/>
    <w:rsid w:val="00935ECA"/>
    <w:rsid w:val="00936BEB"/>
    <w:rsid w:val="0094491D"/>
    <w:rsid w:val="00947512"/>
    <w:rsid w:val="00953D45"/>
    <w:rsid w:val="00955DEF"/>
    <w:rsid w:val="00960FC0"/>
    <w:rsid w:val="00964754"/>
    <w:rsid w:val="00966773"/>
    <w:rsid w:val="0096759D"/>
    <w:rsid w:val="00970BFD"/>
    <w:rsid w:val="009710F9"/>
    <w:rsid w:val="0097433E"/>
    <w:rsid w:val="00974417"/>
    <w:rsid w:val="00982A6D"/>
    <w:rsid w:val="00985840"/>
    <w:rsid w:val="00985F2B"/>
    <w:rsid w:val="00987358"/>
    <w:rsid w:val="009A66F4"/>
    <w:rsid w:val="009A77E8"/>
    <w:rsid w:val="009B2BEC"/>
    <w:rsid w:val="009B4F4C"/>
    <w:rsid w:val="009B64C1"/>
    <w:rsid w:val="009C1F40"/>
    <w:rsid w:val="009D5AE0"/>
    <w:rsid w:val="009D6599"/>
    <w:rsid w:val="009E2F84"/>
    <w:rsid w:val="009F0A3D"/>
    <w:rsid w:val="009F1CAE"/>
    <w:rsid w:val="009F2168"/>
    <w:rsid w:val="009F4F4B"/>
    <w:rsid w:val="009F64C6"/>
    <w:rsid w:val="00A00115"/>
    <w:rsid w:val="00A062B8"/>
    <w:rsid w:val="00A26F44"/>
    <w:rsid w:val="00A31BFA"/>
    <w:rsid w:val="00A3328F"/>
    <w:rsid w:val="00A336D1"/>
    <w:rsid w:val="00A34513"/>
    <w:rsid w:val="00A35472"/>
    <w:rsid w:val="00A40EDE"/>
    <w:rsid w:val="00A410B4"/>
    <w:rsid w:val="00A44AD2"/>
    <w:rsid w:val="00A51999"/>
    <w:rsid w:val="00A5426B"/>
    <w:rsid w:val="00A6006A"/>
    <w:rsid w:val="00A60E0D"/>
    <w:rsid w:val="00A642A2"/>
    <w:rsid w:val="00A648E5"/>
    <w:rsid w:val="00A809A0"/>
    <w:rsid w:val="00A84C69"/>
    <w:rsid w:val="00A92729"/>
    <w:rsid w:val="00A9287A"/>
    <w:rsid w:val="00A97EF9"/>
    <w:rsid w:val="00AA313C"/>
    <w:rsid w:val="00AA51BF"/>
    <w:rsid w:val="00AA6BDC"/>
    <w:rsid w:val="00AB12AC"/>
    <w:rsid w:val="00AB2A79"/>
    <w:rsid w:val="00AB3003"/>
    <w:rsid w:val="00AB4EAE"/>
    <w:rsid w:val="00AB5E9C"/>
    <w:rsid w:val="00AC2617"/>
    <w:rsid w:val="00AC361B"/>
    <w:rsid w:val="00AC5803"/>
    <w:rsid w:val="00AC6703"/>
    <w:rsid w:val="00AD2CC7"/>
    <w:rsid w:val="00AE01E8"/>
    <w:rsid w:val="00AE0960"/>
    <w:rsid w:val="00AF7511"/>
    <w:rsid w:val="00AF7B28"/>
    <w:rsid w:val="00B00D39"/>
    <w:rsid w:val="00B026D8"/>
    <w:rsid w:val="00B02F54"/>
    <w:rsid w:val="00B04060"/>
    <w:rsid w:val="00B041A4"/>
    <w:rsid w:val="00B07F50"/>
    <w:rsid w:val="00B137A1"/>
    <w:rsid w:val="00B21E95"/>
    <w:rsid w:val="00B30097"/>
    <w:rsid w:val="00B33BF5"/>
    <w:rsid w:val="00B3665F"/>
    <w:rsid w:val="00B4327E"/>
    <w:rsid w:val="00B44E9D"/>
    <w:rsid w:val="00B454E6"/>
    <w:rsid w:val="00B47B5F"/>
    <w:rsid w:val="00B54AEE"/>
    <w:rsid w:val="00B560BA"/>
    <w:rsid w:val="00B6633E"/>
    <w:rsid w:val="00B7189A"/>
    <w:rsid w:val="00B750EA"/>
    <w:rsid w:val="00B80AA0"/>
    <w:rsid w:val="00B83804"/>
    <w:rsid w:val="00B900D0"/>
    <w:rsid w:val="00B97848"/>
    <w:rsid w:val="00B97CEF"/>
    <w:rsid w:val="00BA49D0"/>
    <w:rsid w:val="00BA7D0E"/>
    <w:rsid w:val="00BB2692"/>
    <w:rsid w:val="00BB295E"/>
    <w:rsid w:val="00BB580C"/>
    <w:rsid w:val="00BC0F0B"/>
    <w:rsid w:val="00BC307E"/>
    <w:rsid w:val="00BC361D"/>
    <w:rsid w:val="00BC3FE6"/>
    <w:rsid w:val="00BC616B"/>
    <w:rsid w:val="00BC78F3"/>
    <w:rsid w:val="00BC7C77"/>
    <w:rsid w:val="00BD778C"/>
    <w:rsid w:val="00BD7BFD"/>
    <w:rsid w:val="00BE0108"/>
    <w:rsid w:val="00BE19D4"/>
    <w:rsid w:val="00BE2447"/>
    <w:rsid w:val="00BE6856"/>
    <w:rsid w:val="00BF0191"/>
    <w:rsid w:val="00BF3D3D"/>
    <w:rsid w:val="00BF448E"/>
    <w:rsid w:val="00BF6384"/>
    <w:rsid w:val="00C02008"/>
    <w:rsid w:val="00C0298D"/>
    <w:rsid w:val="00C03539"/>
    <w:rsid w:val="00C06D18"/>
    <w:rsid w:val="00C11941"/>
    <w:rsid w:val="00C13BD6"/>
    <w:rsid w:val="00C2205B"/>
    <w:rsid w:val="00C22E87"/>
    <w:rsid w:val="00C34732"/>
    <w:rsid w:val="00C3754D"/>
    <w:rsid w:val="00C44317"/>
    <w:rsid w:val="00C44FC6"/>
    <w:rsid w:val="00C645E1"/>
    <w:rsid w:val="00C678A0"/>
    <w:rsid w:val="00C67DFD"/>
    <w:rsid w:val="00C72BD6"/>
    <w:rsid w:val="00C73172"/>
    <w:rsid w:val="00C745C7"/>
    <w:rsid w:val="00C747E7"/>
    <w:rsid w:val="00C81ECC"/>
    <w:rsid w:val="00C82D39"/>
    <w:rsid w:val="00C86C38"/>
    <w:rsid w:val="00C86FC4"/>
    <w:rsid w:val="00C9007E"/>
    <w:rsid w:val="00C90B93"/>
    <w:rsid w:val="00C91E3F"/>
    <w:rsid w:val="00C97366"/>
    <w:rsid w:val="00C97A9D"/>
    <w:rsid w:val="00CA53BF"/>
    <w:rsid w:val="00CA6242"/>
    <w:rsid w:val="00CA7595"/>
    <w:rsid w:val="00CA7B86"/>
    <w:rsid w:val="00CA7F9B"/>
    <w:rsid w:val="00CB0E56"/>
    <w:rsid w:val="00CB19D2"/>
    <w:rsid w:val="00CB1BD9"/>
    <w:rsid w:val="00CB1D99"/>
    <w:rsid w:val="00CB1EC4"/>
    <w:rsid w:val="00CB2728"/>
    <w:rsid w:val="00CB4068"/>
    <w:rsid w:val="00CB6CE6"/>
    <w:rsid w:val="00CC32B4"/>
    <w:rsid w:val="00CC3D9A"/>
    <w:rsid w:val="00CD08FD"/>
    <w:rsid w:val="00CD1831"/>
    <w:rsid w:val="00CD66E3"/>
    <w:rsid w:val="00CD7EFB"/>
    <w:rsid w:val="00CE09D9"/>
    <w:rsid w:val="00CE1EA1"/>
    <w:rsid w:val="00CE3CA7"/>
    <w:rsid w:val="00CE3F34"/>
    <w:rsid w:val="00CF0729"/>
    <w:rsid w:val="00CF0C74"/>
    <w:rsid w:val="00CF49FF"/>
    <w:rsid w:val="00CF5F0B"/>
    <w:rsid w:val="00D05CAD"/>
    <w:rsid w:val="00D05FE4"/>
    <w:rsid w:val="00D13F54"/>
    <w:rsid w:val="00D14099"/>
    <w:rsid w:val="00D1582D"/>
    <w:rsid w:val="00D16472"/>
    <w:rsid w:val="00D16FF9"/>
    <w:rsid w:val="00D173C2"/>
    <w:rsid w:val="00D34BF1"/>
    <w:rsid w:val="00D37A6D"/>
    <w:rsid w:val="00D40F7B"/>
    <w:rsid w:val="00D429C7"/>
    <w:rsid w:val="00D42B5B"/>
    <w:rsid w:val="00D44C90"/>
    <w:rsid w:val="00D47229"/>
    <w:rsid w:val="00D565A5"/>
    <w:rsid w:val="00D621D4"/>
    <w:rsid w:val="00D641D4"/>
    <w:rsid w:val="00D6575D"/>
    <w:rsid w:val="00D66CEA"/>
    <w:rsid w:val="00D7246E"/>
    <w:rsid w:val="00D73578"/>
    <w:rsid w:val="00D76910"/>
    <w:rsid w:val="00D8007C"/>
    <w:rsid w:val="00DA04B2"/>
    <w:rsid w:val="00DA1843"/>
    <w:rsid w:val="00DA1954"/>
    <w:rsid w:val="00DA3B2A"/>
    <w:rsid w:val="00DA4D12"/>
    <w:rsid w:val="00DC0BCB"/>
    <w:rsid w:val="00DC101D"/>
    <w:rsid w:val="00DC4A59"/>
    <w:rsid w:val="00DD189A"/>
    <w:rsid w:val="00DD4555"/>
    <w:rsid w:val="00DE0EE7"/>
    <w:rsid w:val="00DE1214"/>
    <w:rsid w:val="00DE4F62"/>
    <w:rsid w:val="00DE53AC"/>
    <w:rsid w:val="00DE7BDB"/>
    <w:rsid w:val="00DF2297"/>
    <w:rsid w:val="00DF335D"/>
    <w:rsid w:val="00DF76F4"/>
    <w:rsid w:val="00E008C7"/>
    <w:rsid w:val="00E0213E"/>
    <w:rsid w:val="00E02547"/>
    <w:rsid w:val="00E034CB"/>
    <w:rsid w:val="00E03ECE"/>
    <w:rsid w:val="00E05F3C"/>
    <w:rsid w:val="00E06940"/>
    <w:rsid w:val="00E1018B"/>
    <w:rsid w:val="00E10E93"/>
    <w:rsid w:val="00E17431"/>
    <w:rsid w:val="00E17B47"/>
    <w:rsid w:val="00E23080"/>
    <w:rsid w:val="00E24949"/>
    <w:rsid w:val="00E25761"/>
    <w:rsid w:val="00E35C0B"/>
    <w:rsid w:val="00E41F14"/>
    <w:rsid w:val="00E45DF1"/>
    <w:rsid w:val="00E4602D"/>
    <w:rsid w:val="00E464F9"/>
    <w:rsid w:val="00E54C62"/>
    <w:rsid w:val="00E6182B"/>
    <w:rsid w:val="00E6186D"/>
    <w:rsid w:val="00E629BE"/>
    <w:rsid w:val="00E65B2D"/>
    <w:rsid w:val="00E6756A"/>
    <w:rsid w:val="00E67CD4"/>
    <w:rsid w:val="00E817EC"/>
    <w:rsid w:val="00E81986"/>
    <w:rsid w:val="00E82A63"/>
    <w:rsid w:val="00E8480C"/>
    <w:rsid w:val="00E84D3A"/>
    <w:rsid w:val="00E8722A"/>
    <w:rsid w:val="00E91758"/>
    <w:rsid w:val="00E96D47"/>
    <w:rsid w:val="00E96DE2"/>
    <w:rsid w:val="00EA1DC3"/>
    <w:rsid w:val="00EA22B8"/>
    <w:rsid w:val="00EA2359"/>
    <w:rsid w:val="00EA258F"/>
    <w:rsid w:val="00EA2DF0"/>
    <w:rsid w:val="00EA3A0F"/>
    <w:rsid w:val="00EA48F5"/>
    <w:rsid w:val="00EA7EB0"/>
    <w:rsid w:val="00EB7199"/>
    <w:rsid w:val="00EC10CD"/>
    <w:rsid w:val="00EC14A6"/>
    <w:rsid w:val="00ED0C10"/>
    <w:rsid w:val="00ED1900"/>
    <w:rsid w:val="00ED51FA"/>
    <w:rsid w:val="00ED5B87"/>
    <w:rsid w:val="00EE0144"/>
    <w:rsid w:val="00EE0B37"/>
    <w:rsid w:val="00EE28E4"/>
    <w:rsid w:val="00EE2A94"/>
    <w:rsid w:val="00EE2F3D"/>
    <w:rsid w:val="00EE38BD"/>
    <w:rsid w:val="00EE6CAB"/>
    <w:rsid w:val="00EF05A2"/>
    <w:rsid w:val="00EF27F8"/>
    <w:rsid w:val="00EF49D6"/>
    <w:rsid w:val="00EF7ACF"/>
    <w:rsid w:val="00F000D6"/>
    <w:rsid w:val="00F023B0"/>
    <w:rsid w:val="00F04B17"/>
    <w:rsid w:val="00F128E9"/>
    <w:rsid w:val="00F13A7E"/>
    <w:rsid w:val="00F13C01"/>
    <w:rsid w:val="00F14122"/>
    <w:rsid w:val="00F2237D"/>
    <w:rsid w:val="00F23675"/>
    <w:rsid w:val="00F24B22"/>
    <w:rsid w:val="00F270CC"/>
    <w:rsid w:val="00F2746A"/>
    <w:rsid w:val="00F331EB"/>
    <w:rsid w:val="00F4027A"/>
    <w:rsid w:val="00F5259B"/>
    <w:rsid w:val="00F53CA9"/>
    <w:rsid w:val="00F610E7"/>
    <w:rsid w:val="00F62D63"/>
    <w:rsid w:val="00F70EA8"/>
    <w:rsid w:val="00F72A63"/>
    <w:rsid w:val="00F7377B"/>
    <w:rsid w:val="00F7497E"/>
    <w:rsid w:val="00F75460"/>
    <w:rsid w:val="00F80EEB"/>
    <w:rsid w:val="00F80FE0"/>
    <w:rsid w:val="00F822DD"/>
    <w:rsid w:val="00F827E8"/>
    <w:rsid w:val="00F84174"/>
    <w:rsid w:val="00F93F7E"/>
    <w:rsid w:val="00FA0B55"/>
    <w:rsid w:val="00FB06D1"/>
    <w:rsid w:val="00FB0FD3"/>
    <w:rsid w:val="00FB16ED"/>
    <w:rsid w:val="00FC33E1"/>
    <w:rsid w:val="00FC6695"/>
    <w:rsid w:val="00FC6994"/>
    <w:rsid w:val="00FC69FD"/>
    <w:rsid w:val="00FC7EA7"/>
    <w:rsid w:val="00FD22BD"/>
    <w:rsid w:val="00FE03AB"/>
    <w:rsid w:val="00FE2492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color w:val="00003E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E01E8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BalloonText">
    <w:name w:val="Balloon Text"/>
    <w:basedOn w:val="Normal"/>
    <w:link w:val="BalloonTextChar"/>
    <w:rsid w:val="00683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C76"/>
    <w:rPr>
      <w:rFonts w:ascii="Tahoma" w:hAnsi="Tahoma" w:cs="Tahoma"/>
      <w:color w:val="00003E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color w:val="00003E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E01E8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BalloonText">
    <w:name w:val="Balloon Text"/>
    <w:basedOn w:val="Normal"/>
    <w:link w:val="BalloonTextChar"/>
    <w:rsid w:val="00683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C76"/>
    <w:rPr>
      <w:rFonts w:ascii="Tahoma" w:hAnsi="Tahoma" w:cs="Tahoma"/>
      <w:color w:val="00003E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Teagasc Forestry Development Department </vt:lpstr>
    </vt:vector>
  </TitlesOfParts>
  <Company>Teagasc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Teagasc Forestry Development Department</dc:title>
  <dc:creator>frances.mchugh</dc:creator>
  <cp:lastModifiedBy>Emer Eagle</cp:lastModifiedBy>
  <cp:revision>2</cp:revision>
  <dcterms:created xsi:type="dcterms:W3CDTF">2015-12-18T14:43:00Z</dcterms:created>
  <dcterms:modified xsi:type="dcterms:W3CDTF">2015-12-18T14:43:00Z</dcterms:modified>
</cp:coreProperties>
</file>