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13" w:rsidRDefault="00352E13" w:rsidP="00352E13">
      <w:pPr>
        <w:autoSpaceDE w:val="0"/>
        <w:autoSpaceDN w:val="0"/>
        <w:adjustRightInd w:val="0"/>
        <w:jc w:val="center"/>
      </w:pPr>
      <w:r>
        <w:object w:dxaOrig="8760"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49.2pt" o:ole="" fillcolor="window">
            <v:imagedata r:id="rId6" o:title=""/>
          </v:shape>
          <o:OLEObject Type="Embed" ProgID="PBrush" ShapeID="_x0000_i1025" DrawAspect="Content" ObjectID="_1511954921" r:id="rId7"/>
        </w:object>
      </w:r>
      <w:bookmarkStart w:id="0" w:name="_GoBack"/>
      <w:bookmarkEnd w:id="0"/>
    </w:p>
    <w:p w:rsidR="00664CD8" w:rsidRDefault="00664CD8" w:rsidP="00352E13">
      <w:pPr>
        <w:autoSpaceDE w:val="0"/>
        <w:autoSpaceDN w:val="0"/>
        <w:adjustRightInd w:val="0"/>
        <w:jc w:val="center"/>
      </w:pPr>
    </w:p>
    <w:p w:rsidR="00664CD8" w:rsidRPr="00664CD8" w:rsidRDefault="00664CD8" w:rsidP="00352E13">
      <w:pPr>
        <w:autoSpaceDE w:val="0"/>
        <w:autoSpaceDN w:val="0"/>
        <w:adjustRightInd w:val="0"/>
        <w:jc w:val="center"/>
        <w:rPr>
          <w:b/>
          <w:sz w:val="28"/>
          <w:szCs w:val="28"/>
        </w:rPr>
      </w:pPr>
      <w:r w:rsidRPr="00664CD8">
        <w:rPr>
          <w:b/>
          <w:bCs/>
          <w:iCs/>
          <w:sz w:val="28"/>
          <w:szCs w:val="28"/>
          <w:lang w:val="en-IE"/>
        </w:rPr>
        <w:t xml:space="preserve">Teagasc Forestry Development Department </w:t>
      </w:r>
      <w:r w:rsidRPr="00664CD8">
        <w:rPr>
          <w:b/>
          <w:bCs/>
          <w:iCs/>
          <w:sz w:val="28"/>
          <w:szCs w:val="28"/>
          <w:lang w:val="en-IE"/>
        </w:rPr>
        <w:br/>
      </w:r>
    </w:p>
    <w:p w:rsidR="00352E13" w:rsidRDefault="00352E13" w:rsidP="00F77747">
      <w:pPr>
        <w:autoSpaceDE w:val="0"/>
        <w:autoSpaceDN w:val="0"/>
        <w:adjustRightInd w:val="0"/>
        <w:jc w:val="both"/>
        <w:rPr>
          <w:b/>
          <w:sz w:val="28"/>
          <w:szCs w:val="28"/>
        </w:rPr>
      </w:pPr>
    </w:p>
    <w:p w:rsidR="00F77747" w:rsidRPr="00F77747" w:rsidRDefault="00F77747" w:rsidP="00F77747">
      <w:pPr>
        <w:autoSpaceDE w:val="0"/>
        <w:autoSpaceDN w:val="0"/>
        <w:adjustRightInd w:val="0"/>
        <w:jc w:val="both"/>
        <w:rPr>
          <w:b/>
        </w:rPr>
      </w:pPr>
      <w:r w:rsidRPr="00F77747">
        <w:rPr>
          <w:b/>
          <w:sz w:val="28"/>
          <w:szCs w:val="28"/>
        </w:rPr>
        <w:t>Factors affecting the decision to plant-</w:t>
      </w:r>
      <w:r>
        <w:rPr>
          <w:b/>
        </w:rPr>
        <w:t xml:space="preserve"> a survey of non</w:t>
      </w:r>
      <w:r w:rsidR="000A372B">
        <w:rPr>
          <w:b/>
        </w:rPr>
        <w:t>-</w:t>
      </w:r>
      <w:r>
        <w:rPr>
          <w:b/>
        </w:rPr>
        <w:t>activated approvals</w:t>
      </w:r>
    </w:p>
    <w:p w:rsidR="00F77747" w:rsidRPr="00F77747" w:rsidRDefault="00F77747" w:rsidP="00F77747">
      <w:pPr>
        <w:jc w:val="both"/>
        <w:rPr>
          <w:lang w:val="en-IE"/>
        </w:rPr>
      </w:pPr>
    </w:p>
    <w:p w:rsidR="00F77747" w:rsidRPr="00F77747" w:rsidRDefault="00F77747" w:rsidP="00F77747">
      <w:pPr>
        <w:jc w:val="both"/>
      </w:pPr>
      <w:r w:rsidRPr="00F77747">
        <w:t xml:space="preserve">A study conducted by </w:t>
      </w:r>
      <w:proofErr w:type="spellStart"/>
      <w:r w:rsidRPr="00F77747">
        <w:t>Howley</w:t>
      </w:r>
      <w:proofErr w:type="spellEnd"/>
      <w:r w:rsidRPr="00F77747">
        <w:t xml:space="preserve"> </w:t>
      </w:r>
      <w:r w:rsidRPr="00F77747">
        <w:rPr>
          <w:i/>
        </w:rPr>
        <w:t>et al</w:t>
      </w:r>
      <w:r w:rsidRPr="00F77747">
        <w:t xml:space="preserve"> (2011) used a nationally representative panel dataset collected annually between 1995 and 2009 to model both farm and farmer related characteristics affecting the probability of farmers planting land. The results show that larger farms and those in less intensive farm systems are more likely to have planted land over the study period.</w:t>
      </w:r>
    </w:p>
    <w:p w:rsidR="00F77747" w:rsidRPr="00F77747" w:rsidRDefault="00F77747" w:rsidP="00F77747">
      <w:pPr>
        <w:autoSpaceDE w:val="0"/>
        <w:autoSpaceDN w:val="0"/>
        <w:adjustRightInd w:val="0"/>
        <w:jc w:val="both"/>
      </w:pPr>
    </w:p>
    <w:p w:rsidR="00F77747" w:rsidRPr="00F77747" w:rsidRDefault="00F77747" w:rsidP="00F77747">
      <w:pPr>
        <w:autoSpaceDE w:val="0"/>
        <w:autoSpaceDN w:val="0"/>
        <w:adjustRightInd w:val="0"/>
        <w:jc w:val="both"/>
      </w:pPr>
      <w:r w:rsidRPr="00F77747">
        <w:t>In October 2012, the Teagasc Forestry Development Department (FDD), at the behest of the Forest Service, carried out a nationwide telephone survey relating to non- activated approvals. The survey consisted of 254 individuals who had received afforestation approval in 2011- 2012, but who had not to date activated the approval. The total area involved was 3,059 ha, while the mean approved area was 12 ha. The current use of the land considered for forestry in the survey in Figure 1 below closely corresponds with NFS results on existing forestry plantations.</w:t>
      </w:r>
    </w:p>
    <w:p w:rsidR="00F77747" w:rsidRPr="00F77747" w:rsidRDefault="00F77747" w:rsidP="00F77747">
      <w:pPr>
        <w:jc w:val="both"/>
        <w:rPr>
          <w:b/>
          <w:lang w:val="en-IE"/>
        </w:rPr>
      </w:pPr>
    </w:p>
    <w:p w:rsidR="00F77747" w:rsidRPr="00F77747" w:rsidRDefault="00F77747" w:rsidP="00F77747">
      <w:pPr>
        <w:jc w:val="both"/>
        <w:rPr>
          <w:b/>
          <w:lang w:val="en-IE"/>
        </w:rPr>
      </w:pPr>
      <w:r w:rsidRPr="00F77747">
        <w:rPr>
          <w:b/>
          <w:lang w:val="en-IE"/>
        </w:rPr>
        <w:t>Figure 1: Current land use of land being considered for forestry, Oct. 2012</w:t>
      </w:r>
    </w:p>
    <w:p w:rsidR="00F77747" w:rsidRPr="00F77747" w:rsidRDefault="00D04390" w:rsidP="00F77747">
      <w:pPr>
        <w:jc w:val="both"/>
        <w:rPr>
          <w:b/>
          <w:lang w:val="en-IE"/>
        </w:rPr>
      </w:pPr>
      <w:r>
        <w:rPr>
          <w:noProof/>
          <w:lang w:val="en-IE" w:eastAsia="en-IE"/>
        </w:rPr>
        <w:drawing>
          <wp:inline distT="0" distB="0" distL="0" distR="0">
            <wp:extent cx="5273040" cy="222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2225040"/>
                    </a:xfrm>
                    <a:prstGeom prst="rect">
                      <a:avLst/>
                    </a:prstGeom>
                    <a:noFill/>
                    <a:ln>
                      <a:noFill/>
                    </a:ln>
                  </pic:spPr>
                </pic:pic>
              </a:graphicData>
            </a:graphic>
          </wp:inline>
        </w:drawing>
      </w:r>
    </w:p>
    <w:p w:rsidR="00F77747" w:rsidRPr="00F77747" w:rsidRDefault="00F77747" w:rsidP="00F77747">
      <w:pPr>
        <w:jc w:val="both"/>
      </w:pPr>
      <w:r w:rsidRPr="00F77747">
        <w:t>Source: Teagasc FDD telephone survey, 2012</w:t>
      </w:r>
    </w:p>
    <w:p w:rsidR="00F77747" w:rsidRPr="00F77747" w:rsidRDefault="00F77747" w:rsidP="00F77747">
      <w:pPr>
        <w:jc w:val="both"/>
      </w:pPr>
    </w:p>
    <w:p w:rsidR="00F77747" w:rsidRPr="00F77747" w:rsidRDefault="00F77747" w:rsidP="00F77747">
      <w:pPr>
        <w:jc w:val="both"/>
      </w:pPr>
      <w:r w:rsidRPr="00F77747">
        <w:t>Considering the gross margin per hectare (€/ha) produced by the various farming enterprises in recent years outlined in Figure 2 below, it is unsurprising that cattle and sheep enterprises are heavily represented in lands being considered for afforestation.</w:t>
      </w:r>
    </w:p>
    <w:p w:rsidR="00F77747" w:rsidRDefault="00F77747" w:rsidP="00F77747">
      <w:pPr>
        <w:jc w:val="both"/>
      </w:pPr>
    </w:p>
    <w:p w:rsidR="00352E13" w:rsidRDefault="00352E13" w:rsidP="00F77747">
      <w:pPr>
        <w:jc w:val="both"/>
      </w:pPr>
    </w:p>
    <w:p w:rsidR="00352E13" w:rsidRDefault="00352E13" w:rsidP="00F77747">
      <w:pPr>
        <w:jc w:val="both"/>
      </w:pPr>
    </w:p>
    <w:p w:rsidR="00352E13" w:rsidRDefault="00352E13" w:rsidP="00F77747">
      <w:pPr>
        <w:jc w:val="both"/>
      </w:pPr>
    </w:p>
    <w:p w:rsidR="00352E13" w:rsidRDefault="00352E13" w:rsidP="00F77747">
      <w:pPr>
        <w:jc w:val="both"/>
      </w:pPr>
    </w:p>
    <w:p w:rsidR="00352E13" w:rsidRDefault="00352E13" w:rsidP="00F77747">
      <w:pPr>
        <w:jc w:val="both"/>
      </w:pPr>
    </w:p>
    <w:p w:rsidR="00352E13" w:rsidRDefault="00352E13" w:rsidP="00F77747">
      <w:pPr>
        <w:jc w:val="both"/>
      </w:pPr>
    </w:p>
    <w:p w:rsidR="00352E13" w:rsidRDefault="00352E13" w:rsidP="00F77747">
      <w:pPr>
        <w:jc w:val="both"/>
      </w:pPr>
    </w:p>
    <w:p w:rsidR="00352E13" w:rsidRDefault="00352E13" w:rsidP="00F77747">
      <w:pPr>
        <w:jc w:val="both"/>
      </w:pPr>
    </w:p>
    <w:p w:rsidR="00352E13" w:rsidRPr="00F77747" w:rsidRDefault="00352E13" w:rsidP="00F77747">
      <w:pPr>
        <w:jc w:val="both"/>
      </w:pPr>
    </w:p>
    <w:p w:rsidR="00F77747" w:rsidRPr="00F77747" w:rsidRDefault="00F77747" w:rsidP="00F77747">
      <w:pPr>
        <w:jc w:val="both"/>
      </w:pPr>
      <w:r w:rsidRPr="00F77747">
        <w:rPr>
          <w:b/>
          <w:lang w:val="en-IE"/>
        </w:rPr>
        <w:t>Figure 2: Gross margin (€) per hectare by farming enterprise, 2010- 2011</w:t>
      </w:r>
    </w:p>
    <w:p w:rsidR="00F77747" w:rsidRPr="00F77747" w:rsidRDefault="00D04390" w:rsidP="00F77747">
      <w:pPr>
        <w:jc w:val="both"/>
      </w:pPr>
      <w:r>
        <w:rPr>
          <w:noProof/>
          <w:lang w:val="en-IE" w:eastAsia="en-IE"/>
        </w:rPr>
        <w:drawing>
          <wp:inline distT="0" distB="0" distL="0" distR="0">
            <wp:extent cx="5280660" cy="217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179320"/>
                    </a:xfrm>
                    <a:prstGeom prst="rect">
                      <a:avLst/>
                    </a:prstGeom>
                    <a:noFill/>
                    <a:ln>
                      <a:noFill/>
                    </a:ln>
                  </pic:spPr>
                </pic:pic>
              </a:graphicData>
            </a:graphic>
          </wp:inline>
        </w:drawing>
      </w:r>
    </w:p>
    <w:p w:rsidR="00F77747" w:rsidRPr="00F77747" w:rsidRDefault="00F77747" w:rsidP="00F77747">
      <w:pPr>
        <w:jc w:val="both"/>
      </w:pPr>
      <w:r w:rsidRPr="00F77747">
        <w:t>Source: Teagasc NFS (various years)</w:t>
      </w:r>
    </w:p>
    <w:p w:rsidR="00F77747" w:rsidRPr="00F77747" w:rsidRDefault="00F77747" w:rsidP="00F77747">
      <w:pPr>
        <w:jc w:val="both"/>
        <w:rPr>
          <w:lang w:val="en-IE"/>
        </w:rPr>
      </w:pPr>
    </w:p>
    <w:p w:rsidR="00F77747" w:rsidRPr="00F77747" w:rsidRDefault="00F77747" w:rsidP="00F77747">
      <w:pPr>
        <w:jc w:val="both"/>
        <w:rPr>
          <w:lang w:val="en-IE"/>
        </w:rPr>
      </w:pPr>
      <w:r w:rsidRPr="00F77747">
        <w:rPr>
          <w:lang w:val="en-IE"/>
        </w:rPr>
        <w:t xml:space="preserve">Almost 47% of those surveyed have deferred or are undecided. Approval issues such as </w:t>
      </w:r>
      <w:r w:rsidRPr="00F77747">
        <w:t>site conditions in 2012, delays due to “bureau</w:t>
      </w:r>
      <w:r>
        <w:t xml:space="preserve">cracy”, </w:t>
      </w:r>
      <w:proofErr w:type="gramStart"/>
      <w:r>
        <w:t>not happy with company,</w:t>
      </w:r>
      <w:r w:rsidRPr="00F77747">
        <w:t xml:space="preserve"> not happy with species choices and unenclosed area designation</w:t>
      </w:r>
      <w:proofErr w:type="gramEnd"/>
      <w:r w:rsidRPr="00F77747">
        <w:t xml:space="preserve"> are cited as the largest reasons for deferrals (35%). </w:t>
      </w:r>
      <w:r w:rsidRPr="00F77747">
        <w:rPr>
          <w:lang w:val="en-IE"/>
        </w:rPr>
        <w:t xml:space="preserve"> A combination of strong cattle prices and uncertainty due to CAP reform is given as the 2nd largest reason for deferral (34%), as shown in Figure 3.</w:t>
      </w:r>
    </w:p>
    <w:p w:rsidR="00F77747" w:rsidRPr="00F77747" w:rsidRDefault="00F77747" w:rsidP="00F77747">
      <w:pPr>
        <w:jc w:val="both"/>
        <w:rPr>
          <w:lang w:val="en-IE"/>
        </w:rPr>
      </w:pPr>
    </w:p>
    <w:p w:rsidR="00F77747" w:rsidRPr="00F77747" w:rsidRDefault="00F77747" w:rsidP="00F77747">
      <w:pPr>
        <w:jc w:val="both"/>
        <w:rPr>
          <w:b/>
          <w:lang w:val="en-IE"/>
        </w:rPr>
      </w:pPr>
      <w:r w:rsidRPr="00F77747">
        <w:rPr>
          <w:b/>
          <w:lang w:val="en-IE"/>
        </w:rPr>
        <w:t>Figure 3: Reasons for deferral</w:t>
      </w:r>
    </w:p>
    <w:p w:rsidR="00F77747" w:rsidRPr="00F77747" w:rsidRDefault="00D04390" w:rsidP="00F77747">
      <w:pPr>
        <w:jc w:val="both"/>
        <w:rPr>
          <w:b/>
          <w:lang w:val="en-IE"/>
        </w:rPr>
      </w:pPr>
      <w:r>
        <w:rPr>
          <w:noProof/>
          <w:lang w:val="en-IE" w:eastAsia="en-IE"/>
        </w:rPr>
        <w:drawing>
          <wp:inline distT="0" distB="0" distL="0" distR="0">
            <wp:extent cx="5273040" cy="248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2484120"/>
                    </a:xfrm>
                    <a:prstGeom prst="rect">
                      <a:avLst/>
                    </a:prstGeom>
                    <a:noFill/>
                    <a:ln>
                      <a:noFill/>
                    </a:ln>
                  </pic:spPr>
                </pic:pic>
              </a:graphicData>
            </a:graphic>
          </wp:inline>
        </w:drawing>
      </w:r>
    </w:p>
    <w:p w:rsidR="00F77747" w:rsidRPr="00F77747" w:rsidRDefault="00F77747" w:rsidP="00F77747">
      <w:pPr>
        <w:jc w:val="both"/>
      </w:pPr>
      <w:r w:rsidRPr="00F77747">
        <w:t>Source: Teagasc FDD telephone survey, 2012</w:t>
      </w:r>
    </w:p>
    <w:p w:rsidR="00F77747" w:rsidRPr="00F77747" w:rsidRDefault="00F77747" w:rsidP="00F77747">
      <w:pPr>
        <w:jc w:val="both"/>
        <w:rPr>
          <w:lang w:val="en-IE"/>
        </w:rPr>
      </w:pPr>
    </w:p>
    <w:p w:rsidR="00F77747" w:rsidRPr="00F77747" w:rsidRDefault="00F77747" w:rsidP="00F77747">
      <w:pPr>
        <w:jc w:val="both"/>
        <w:rPr>
          <w:lang w:val="en-IE"/>
        </w:rPr>
      </w:pPr>
      <w:r w:rsidRPr="00F77747">
        <w:rPr>
          <w:lang w:val="en-IE"/>
        </w:rPr>
        <w:t xml:space="preserve">Of the 254 landowners contacted in the Oct. 2012 survey, 45% have decided not to plant. Land ownership issues influences 29% of those not going ahead with planting, following by the current level of </w:t>
      </w:r>
      <w:proofErr w:type="spellStart"/>
      <w:r w:rsidRPr="00F77747">
        <w:rPr>
          <w:lang w:val="en-IE"/>
        </w:rPr>
        <w:t>premia</w:t>
      </w:r>
      <w:proofErr w:type="spellEnd"/>
      <w:r w:rsidRPr="00F77747">
        <w:rPr>
          <w:lang w:val="en-IE"/>
        </w:rPr>
        <w:t xml:space="preserve"> (23%), as illustrated in Figure 4. </w:t>
      </w:r>
    </w:p>
    <w:p w:rsidR="00F77747" w:rsidRDefault="00F77747" w:rsidP="00F77747">
      <w:pPr>
        <w:jc w:val="both"/>
        <w:rPr>
          <w:lang w:val="en-IE"/>
        </w:rPr>
      </w:pPr>
    </w:p>
    <w:p w:rsidR="00352E13" w:rsidRDefault="00352E13" w:rsidP="00F77747">
      <w:pPr>
        <w:jc w:val="both"/>
        <w:rPr>
          <w:lang w:val="en-IE"/>
        </w:rPr>
      </w:pPr>
    </w:p>
    <w:p w:rsidR="00352E13" w:rsidRDefault="00352E13" w:rsidP="00F77747">
      <w:pPr>
        <w:jc w:val="both"/>
        <w:rPr>
          <w:lang w:val="en-IE"/>
        </w:rPr>
      </w:pPr>
    </w:p>
    <w:p w:rsidR="00352E13" w:rsidRDefault="00352E13" w:rsidP="00F77747">
      <w:pPr>
        <w:jc w:val="both"/>
        <w:rPr>
          <w:lang w:val="en-IE"/>
        </w:rPr>
      </w:pPr>
    </w:p>
    <w:p w:rsidR="00352E13" w:rsidRDefault="00352E13" w:rsidP="00F77747">
      <w:pPr>
        <w:jc w:val="both"/>
        <w:rPr>
          <w:lang w:val="en-IE"/>
        </w:rPr>
      </w:pPr>
    </w:p>
    <w:p w:rsidR="00352E13" w:rsidRDefault="00352E13" w:rsidP="00F77747">
      <w:pPr>
        <w:jc w:val="both"/>
        <w:rPr>
          <w:lang w:val="en-IE"/>
        </w:rPr>
      </w:pPr>
    </w:p>
    <w:p w:rsidR="00352E13" w:rsidRPr="00F77747" w:rsidRDefault="00352E13" w:rsidP="00F77747">
      <w:pPr>
        <w:jc w:val="both"/>
        <w:rPr>
          <w:lang w:val="en-IE"/>
        </w:rPr>
      </w:pPr>
    </w:p>
    <w:p w:rsidR="00F77747" w:rsidRPr="00F77747" w:rsidRDefault="00F77747" w:rsidP="00F77747">
      <w:pPr>
        <w:jc w:val="both"/>
        <w:rPr>
          <w:b/>
          <w:lang w:val="en-IE"/>
        </w:rPr>
      </w:pPr>
      <w:r w:rsidRPr="00F77747">
        <w:rPr>
          <w:b/>
          <w:lang w:val="en-IE"/>
        </w:rPr>
        <w:t>Figure 4: Reasons for not planting</w:t>
      </w:r>
    </w:p>
    <w:p w:rsidR="00F77747" w:rsidRPr="00F77747" w:rsidRDefault="00D04390" w:rsidP="00F77747">
      <w:pPr>
        <w:jc w:val="both"/>
        <w:rPr>
          <w:lang w:val="en-IE"/>
        </w:rPr>
      </w:pPr>
      <w:r>
        <w:rPr>
          <w:noProof/>
          <w:lang w:val="en-IE" w:eastAsia="en-IE"/>
        </w:rPr>
        <w:drawing>
          <wp:inline distT="0" distB="0" distL="0" distR="0">
            <wp:extent cx="5280660" cy="2461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660" cy="2461260"/>
                    </a:xfrm>
                    <a:prstGeom prst="rect">
                      <a:avLst/>
                    </a:prstGeom>
                    <a:noFill/>
                    <a:ln>
                      <a:noFill/>
                    </a:ln>
                  </pic:spPr>
                </pic:pic>
              </a:graphicData>
            </a:graphic>
          </wp:inline>
        </w:drawing>
      </w:r>
    </w:p>
    <w:p w:rsidR="00F77747" w:rsidRPr="00F77747" w:rsidRDefault="00F77747" w:rsidP="00F77747">
      <w:pPr>
        <w:jc w:val="both"/>
      </w:pPr>
      <w:r w:rsidRPr="00F77747">
        <w:t>Source: Teagasc FDD telephone survey, 2012</w:t>
      </w:r>
    </w:p>
    <w:p w:rsidR="00F77747" w:rsidRPr="00F77747" w:rsidRDefault="00F77747" w:rsidP="00F77747">
      <w:pPr>
        <w:jc w:val="both"/>
        <w:rPr>
          <w:lang w:val="en-IE"/>
        </w:rPr>
      </w:pPr>
    </w:p>
    <w:p w:rsidR="00F77747" w:rsidRPr="00F77747" w:rsidRDefault="00F77747" w:rsidP="00F77747">
      <w:pPr>
        <w:jc w:val="both"/>
        <w:rPr>
          <w:b/>
          <w:lang w:val="en-IE"/>
        </w:rPr>
      </w:pPr>
      <w:r w:rsidRPr="00F77747">
        <w:rPr>
          <w:b/>
          <w:lang w:val="en-IE"/>
        </w:rPr>
        <w:t>Conclusions</w:t>
      </w:r>
    </w:p>
    <w:p w:rsidR="00F77747" w:rsidRPr="00F77747" w:rsidRDefault="00F77747" w:rsidP="00F77747">
      <w:pPr>
        <w:jc w:val="both"/>
        <w:rPr>
          <w:lang w:val="en-IE"/>
        </w:rPr>
      </w:pPr>
    </w:p>
    <w:p w:rsidR="00F77747" w:rsidRPr="00F77747" w:rsidRDefault="00F77747" w:rsidP="00F77747">
      <w:pPr>
        <w:numPr>
          <w:ilvl w:val="0"/>
          <w:numId w:val="1"/>
        </w:numPr>
        <w:jc w:val="both"/>
        <w:rPr>
          <w:lang w:val="en-IE"/>
        </w:rPr>
      </w:pPr>
      <w:r w:rsidRPr="00F77747">
        <w:rPr>
          <w:lang w:val="en-IE"/>
        </w:rPr>
        <w:t>Of all non- activated approvals totalling 3,059 ha &amp; 254 landowners, 45% of those contacted have decided not to plant</w:t>
      </w:r>
    </w:p>
    <w:p w:rsidR="00F77747" w:rsidRPr="00F77747" w:rsidRDefault="00F77747" w:rsidP="00F77747">
      <w:pPr>
        <w:numPr>
          <w:ilvl w:val="0"/>
          <w:numId w:val="1"/>
        </w:numPr>
        <w:jc w:val="both"/>
        <w:rPr>
          <w:lang w:val="en-IE"/>
        </w:rPr>
      </w:pPr>
      <w:r w:rsidRPr="00F77747">
        <w:rPr>
          <w:lang w:val="en-IE"/>
        </w:rPr>
        <w:t xml:space="preserve">Land ownership issues influences 29% of those not going ahead with planting </w:t>
      </w:r>
    </w:p>
    <w:p w:rsidR="00F77747" w:rsidRPr="00F77747" w:rsidRDefault="00F77747" w:rsidP="00F77747">
      <w:pPr>
        <w:numPr>
          <w:ilvl w:val="0"/>
          <w:numId w:val="1"/>
        </w:numPr>
        <w:jc w:val="both"/>
        <w:rPr>
          <w:lang w:val="en-IE"/>
        </w:rPr>
      </w:pPr>
      <w:r w:rsidRPr="00F77747">
        <w:rPr>
          <w:lang w:val="en-IE"/>
        </w:rPr>
        <w:t>Almost 47% of those surveyed have deferred or are undecided</w:t>
      </w:r>
    </w:p>
    <w:p w:rsidR="00F77747" w:rsidRPr="00F77747" w:rsidRDefault="00F77747" w:rsidP="00F77747">
      <w:pPr>
        <w:numPr>
          <w:ilvl w:val="0"/>
          <w:numId w:val="1"/>
        </w:numPr>
        <w:jc w:val="both"/>
      </w:pPr>
      <w:r w:rsidRPr="00F77747">
        <w:rPr>
          <w:lang w:val="en-IE"/>
        </w:rPr>
        <w:t xml:space="preserve">Approval issues- incl. </w:t>
      </w:r>
      <w:r w:rsidRPr="00F77747">
        <w:t>site conditions in 2012, delay due to “bureaucracy”, not happy with company, not happy with spp. choices, unenclosed areas, TCC</w:t>
      </w:r>
      <w:r>
        <w:t xml:space="preserve"> </w:t>
      </w:r>
      <w:r w:rsidRPr="00F77747">
        <w:t>is cited as the largest reason for deferrals (35%)</w:t>
      </w:r>
    </w:p>
    <w:p w:rsidR="00F77747" w:rsidRPr="00F77747" w:rsidRDefault="00F77747" w:rsidP="00F77747">
      <w:pPr>
        <w:numPr>
          <w:ilvl w:val="0"/>
          <w:numId w:val="2"/>
        </w:numPr>
        <w:jc w:val="both"/>
        <w:rPr>
          <w:lang w:val="en-IE"/>
        </w:rPr>
      </w:pPr>
      <w:r w:rsidRPr="00F77747">
        <w:rPr>
          <w:lang w:val="en-IE"/>
        </w:rPr>
        <w:t xml:space="preserve"> A combination of strong cattle prices and uncertainty due to CAP reform is given as the 2nd largest reason for deferral (34%)</w:t>
      </w:r>
    </w:p>
    <w:p w:rsidR="00F77747" w:rsidRPr="00F77747" w:rsidRDefault="00F77747" w:rsidP="00F77747">
      <w:pPr>
        <w:jc w:val="both"/>
        <w:rPr>
          <w:lang w:val="en-IE"/>
        </w:rPr>
      </w:pPr>
    </w:p>
    <w:p w:rsidR="00F77747" w:rsidRPr="00F77747" w:rsidRDefault="00F77747" w:rsidP="00F77747">
      <w:pPr>
        <w:jc w:val="both"/>
        <w:rPr>
          <w:lang w:val="en-IE"/>
        </w:rPr>
      </w:pPr>
      <w:r w:rsidRPr="00F77747">
        <w:rPr>
          <w:lang w:val="en-IE"/>
        </w:rPr>
        <w:t>While the survey was small and not representative, it is indicative of why some landowners are not going ahead with planting at the moment.</w:t>
      </w:r>
    </w:p>
    <w:p w:rsidR="00F77747" w:rsidRPr="00F77747" w:rsidRDefault="00F77747" w:rsidP="00F77747">
      <w:pPr>
        <w:jc w:val="both"/>
        <w:rPr>
          <w:lang w:val="en-IE"/>
        </w:rPr>
      </w:pPr>
    </w:p>
    <w:p w:rsidR="00AE3D0B" w:rsidRPr="00F77747" w:rsidRDefault="00AE3D0B" w:rsidP="00F77747">
      <w:pPr>
        <w:jc w:val="both"/>
        <w:rPr>
          <w:lang w:val="en-IE"/>
        </w:rPr>
      </w:pPr>
    </w:p>
    <w:sectPr w:rsidR="00AE3D0B" w:rsidRPr="00F777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1CCD"/>
    <w:multiLevelType w:val="hybridMultilevel"/>
    <w:tmpl w:val="33ACBE06"/>
    <w:lvl w:ilvl="0" w:tplc="94E0C252">
      <w:start w:val="1"/>
      <w:numFmt w:val="bullet"/>
      <w:lvlText w:val="•"/>
      <w:lvlJc w:val="left"/>
      <w:pPr>
        <w:tabs>
          <w:tab w:val="num" w:pos="720"/>
        </w:tabs>
        <w:ind w:left="720" w:hanging="360"/>
      </w:pPr>
      <w:rPr>
        <w:rFonts w:ascii="Times New Roman" w:hAnsi="Times New Roman" w:hint="default"/>
      </w:rPr>
    </w:lvl>
    <w:lvl w:ilvl="1" w:tplc="7E96C482" w:tentative="1">
      <w:start w:val="1"/>
      <w:numFmt w:val="bullet"/>
      <w:lvlText w:val="•"/>
      <w:lvlJc w:val="left"/>
      <w:pPr>
        <w:tabs>
          <w:tab w:val="num" w:pos="1440"/>
        </w:tabs>
        <w:ind w:left="1440" w:hanging="360"/>
      </w:pPr>
      <w:rPr>
        <w:rFonts w:ascii="Times New Roman" w:hAnsi="Times New Roman" w:hint="default"/>
      </w:rPr>
    </w:lvl>
    <w:lvl w:ilvl="2" w:tplc="24FAE3CE" w:tentative="1">
      <w:start w:val="1"/>
      <w:numFmt w:val="bullet"/>
      <w:lvlText w:val="•"/>
      <w:lvlJc w:val="left"/>
      <w:pPr>
        <w:tabs>
          <w:tab w:val="num" w:pos="2160"/>
        </w:tabs>
        <w:ind w:left="2160" w:hanging="360"/>
      </w:pPr>
      <w:rPr>
        <w:rFonts w:ascii="Times New Roman" w:hAnsi="Times New Roman" w:hint="default"/>
      </w:rPr>
    </w:lvl>
    <w:lvl w:ilvl="3" w:tplc="D08AB764" w:tentative="1">
      <w:start w:val="1"/>
      <w:numFmt w:val="bullet"/>
      <w:lvlText w:val="•"/>
      <w:lvlJc w:val="left"/>
      <w:pPr>
        <w:tabs>
          <w:tab w:val="num" w:pos="2880"/>
        </w:tabs>
        <w:ind w:left="2880" w:hanging="360"/>
      </w:pPr>
      <w:rPr>
        <w:rFonts w:ascii="Times New Roman" w:hAnsi="Times New Roman" w:hint="default"/>
      </w:rPr>
    </w:lvl>
    <w:lvl w:ilvl="4" w:tplc="2B0CF83E" w:tentative="1">
      <w:start w:val="1"/>
      <w:numFmt w:val="bullet"/>
      <w:lvlText w:val="•"/>
      <w:lvlJc w:val="left"/>
      <w:pPr>
        <w:tabs>
          <w:tab w:val="num" w:pos="3600"/>
        </w:tabs>
        <w:ind w:left="3600" w:hanging="360"/>
      </w:pPr>
      <w:rPr>
        <w:rFonts w:ascii="Times New Roman" w:hAnsi="Times New Roman" w:hint="default"/>
      </w:rPr>
    </w:lvl>
    <w:lvl w:ilvl="5" w:tplc="E5DE0D1E" w:tentative="1">
      <w:start w:val="1"/>
      <w:numFmt w:val="bullet"/>
      <w:lvlText w:val="•"/>
      <w:lvlJc w:val="left"/>
      <w:pPr>
        <w:tabs>
          <w:tab w:val="num" w:pos="4320"/>
        </w:tabs>
        <w:ind w:left="4320" w:hanging="360"/>
      </w:pPr>
      <w:rPr>
        <w:rFonts w:ascii="Times New Roman" w:hAnsi="Times New Roman" w:hint="default"/>
      </w:rPr>
    </w:lvl>
    <w:lvl w:ilvl="6" w:tplc="B1A48AA8" w:tentative="1">
      <w:start w:val="1"/>
      <w:numFmt w:val="bullet"/>
      <w:lvlText w:val="•"/>
      <w:lvlJc w:val="left"/>
      <w:pPr>
        <w:tabs>
          <w:tab w:val="num" w:pos="5040"/>
        </w:tabs>
        <w:ind w:left="5040" w:hanging="360"/>
      </w:pPr>
      <w:rPr>
        <w:rFonts w:ascii="Times New Roman" w:hAnsi="Times New Roman" w:hint="default"/>
      </w:rPr>
    </w:lvl>
    <w:lvl w:ilvl="7" w:tplc="EBA6EADE" w:tentative="1">
      <w:start w:val="1"/>
      <w:numFmt w:val="bullet"/>
      <w:lvlText w:val="•"/>
      <w:lvlJc w:val="left"/>
      <w:pPr>
        <w:tabs>
          <w:tab w:val="num" w:pos="5760"/>
        </w:tabs>
        <w:ind w:left="5760" w:hanging="360"/>
      </w:pPr>
      <w:rPr>
        <w:rFonts w:ascii="Times New Roman" w:hAnsi="Times New Roman" w:hint="default"/>
      </w:rPr>
    </w:lvl>
    <w:lvl w:ilvl="8" w:tplc="D99017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6B4F760F"/>
    <w:multiLevelType w:val="hybridMultilevel"/>
    <w:tmpl w:val="BC7C7B86"/>
    <w:lvl w:ilvl="0" w:tplc="5C9E8CFE">
      <w:start w:val="1"/>
      <w:numFmt w:val="bullet"/>
      <w:lvlText w:val="•"/>
      <w:lvlJc w:val="left"/>
      <w:pPr>
        <w:tabs>
          <w:tab w:val="num" w:pos="720"/>
        </w:tabs>
        <w:ind w:left="720" w:hanging="360"/>
      </w:pPr>
      <w:rPr>
        <w:rFonts w:ascii="Times New Roman" w:hAnsi="Times New Roman" w:hint="default"/>
      </w:rPr>
    </w:lvl>
    <w:lvl w:ilvl="1" w:tplc="852A1224" w:tentative="1">
      <w:start w:val="1"/>
      <w:numFmt w:val="bullet"/>
      <w:lvlText w:val="•"/>
      <w:lvlJc w:val="left"/>
      <w:pPr>
        <w:tabs>
          <w:tab w:val="num" w:pos="1440"/>
        </w:tabs>
        <w:ind w:left="1440" w:hanging="360"/>
      </w:pPr>
      <w:rPr>
        <w:rFonts w:ascii="Times New Roman" w:hAnsi="Times New Roman" w:hint="default"/>
      </w:rPr>
    </w:lvl>
    <w:lvl w:ilvl="2" w:tplc="3F7007DE" w:tentative="1">
      <w:start w:val="1"/>
      <w:numFmt w:val="bullet"/>
      <w:lvlText w:val="•"/>
      <w:lvlJc w:val="left"/>
      <w:pPr>
        <w:tabs>
          <w:tab w:val="num" w:pos="2160"/>
        </w:tabs>
        <w:ind w:left="2160" w:hanging="360"/>
      </w:pPr>
      <w:rPr>
        <w:rFonts w:ascii="Times New Roman" w:hAnsi="Times New Roman" w:hint="default"/>
      </w:rPr>
    </w:lvl>
    <w:lvl w:ilvl="3" w:tplc="43F6B448" w:tentative="1">
      <w:start w:val="1"/>
      <w:numFmt w:val="bullet"/>
      <w:lvlText w:val="•"/>
      <w:lvlJc w:val="left"/>
      <w:pPr>
        <w:tabs>
          <w:tab w:val="num" w:pos="2880"/>
        </w:tabs>
        <w:ind w:left="2880" w:hanging="360"/>
      </w:pPr>
      <w:rPr>
        <w:rFonts w:ascii="Times New Roman" w:hAnsi="Times New Roman" w:hint="default"/>
      </w:rPr>
    </w:lvl>
    <w:lvl w:ilvl="4" w:tplc="9C003AB8" w:tentative="1">
      <w:start w:val="1"/>
      <w:numFmt w:val="bullet"/>
      <w:lvlText w:val="•"/>
      <w:lvlJc w:val="left"/>
      <w:pPr>
        <w:tabs>
          <w:tab w:val="num" w:pos="3600"/>
        </w:tabs>
        <w:ind w:left="3600" w:hanging="360"/>
      </w:pPr>
      <w:rPr>
        <w:rFonts w:ascii="Times New Roman" w:hAnsi="Times New Roman" w:hint="default"/>
      </w:rPr>
    </w:lvl>
    <w:lvl w:ilvl="5" w:tplc="EF7CE5F0" w:tentative="1">
      <w:start w:val="1"/>
      <w:numFmt w:val="bullet"/>
      <w:lvlText w:val="•"/>
      <w:lvlJc w:val="left"/>
      <w:pPr>
        <w:tabs>
          <w:tab w:val="num" w:pos="4320"/>
        </w:tabs>
        <w:ind w:left="4320" w:hanging="360"/>
      </w:pPr>
      <w:rPr>
        <w:rFonts w:ascii="Times New Roman" w:hAnsi="Times New Roman" w:hint="default"/>
      </w:rPr>
    </w:lvl>
    <w:lvl w:ilvl="6" w:tplc="E3188F0E" w:tentative="1">
      <w:start w:val="1"/>
      <w:numFmt w:val="bullet"/>
      <w:lvlText w:val="•"/>
      <w:lvlJc w:val="left"/>
      <w:pPr>
        <w:tabs>
          <w:tab w:val="num" w:pos="5040"/>
        </w:tabs>
        <w:ind w:left="5040" w:hanging="360"/>
      </w:pPr>
      <w:rPr>
        <w:rFonts w:ascii="Times New Roman" w:hAnsi="Times New Roman" w:hint="default"/>
      </w:rPr>
    </w:lvl>
    <w:lvl w:ilvl="7" w:tplc="7D5A7FAE" w:tentative="1">
      <w:start w:val="1"/>
      <w:numFmt w:val="bullet"/>
      <w:lvlText w:val="•"/>
      <w:lvlJc w:val="left"/>
      <w:pPr>
        <w:tabs>
          <w:tab w:val="num" w:pos="5760"/>
        </w:tabs>
        <w:ind w:left="5760" w:hanging="360"/>
      </w:pPr>
      <w:rPr>
        <w:rFonts w:ascii="Times New Roman" w:hAnsi="Times New Roman" w:hint="default"/>
      </w:rPr>
    </w:lvl>
    <w:lvl w:ilvl="8" w:tplc="D7F8C5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47"/>
    <w:rsid w:val="0006042F"/>
    <w:rsid w:val="00097674"/>
    <w:rsid w:val="000A372B"/>
    <w:rsid w:val="000A7F48"/>
    <w:rsid w:val="001B3E1C"/>
    <w:rsid w:val="001F7CA7"/>
    <w:rsid w:val="00262C99"/>
    <w:rsid w:val="00352E13"/>
    <w:rsid w:val="003844D5"/>
    <w:rsid w:val="004039A9"/>
    <w:rsid w:val="00417693"/>
    <w:rsid w:val="004302D6"/>
    <w:rsid w:val="004C589D"/>
    <w:rsid w:val="004E33A3"/>
    <w:rsid w:val="00505CFC"/>
    <w:rsid w:val="005F79F0"/>
    <w:rsid w:val="006354ED"/>
    <w:rsid w:val="00664CD8"/>
    <w:rsid w:val="00672164"/>
    <w:rsid w:val="006C5A14"/>
    <w:rsid w:val="006D3805"/>
    <w:rsid w:val="006E75D9"/>
    <w:rsid w:val="006F4CC5"/>
    <w:rsid w:val="00707D9F"/>
    <w:rsid w:val="00776F2B"/>
    <w:rsid w:val="007B469B"/>
    <w:rsid w:val="00816A4C"/>
    <w:rsid w:val="00841BFE"/>
    <w:rsid w:val="00877B2E"/>
    <w:rsid w:val="0090534F"/>
    <w:rsid w:val="00AA6C76"/>
    <w:rsid w:val="00AE3D0B"/>
    <w:rsid w:val="00C412F8"/>
    <w:rsid w:val="00C57232"/>
    <w:rsid w:val="00D04390"/>
    <w:rsid w:val="00D37E25"/>
    <w:rsid w:val="00D71061"/>
    <w:rsid w:val="00D7436F"/>
    <w:rsid w:val="00DE0337"/>
    <w:rsid w:val="00E06FC7"/>
    <w:rsid w:val="00E26B20"/>
    <w:rsid w:val="00E83F00"/>
    <w:rsid w:val="00E95771"/>
    <w:rsid w:val="00F15BE8"/>
    <w:rsid w:val="00F77747"/>
    <w:rsid w:val="00FA3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747"/>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04390"/>
    <w:rPr>
      <w:rFonts w:ascii="Tahoma" w:hAnsi="Tahoma" w:cs="Tahoma"/>
      <w:sz w:val="16"/>
      <w:szCs w:val="16"/>
    </w:rPr>
  </w:style>
  <w:style w:type="character" w:customStyle="1" w:styleId="BalloonTextChar">
    <w:name w:val="Balloon Text Char"/>
    <w:basedOn w:val="DefaultParagraphFont"/>
    <w:link w:val="BalloonText"/>
    <w:rsid w:val="00D0439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747"/>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04390"/>
    <w:rPr>
      <w:rFonts w:ascii="Tahoma" w:hAnsi="Tahoma" w:cs="Tahoma"/>
      <w:sz w:val="16"/>
      <w:szCs w:val="16"/>
    </w:rPr>
  </w:style>
  <w:style w:type="character" w:customStyle="1" w:styleId="BalloonTextChar">
    <w:name w:val="Balloon Text Char"/>
    <w:basedOn w:val="DefaultParagraphFont"/>
    <w:link w:val="BalloonText"/>
    <w:rsid w:val="00D0439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1885">
      <w:bodyDiv w:val="1"/>
      <w:marLeft w:val="0"/>
      <w:marRight w:val="0"/>
      <w:marTop w:val="0"/>
      <w:marBottom w:val="0"/>
      <w:divBdr>
        <w:top w:val="none" w:sz="0" w:space="0" w:color="auto"/>
        <w:left w:val="none" w:sz="0" w:space="0" w:color="auto"/>
        <w:bottom w:val="none" w:sz="0" w:space="0" w:color="auto"/>
        <w:right w:val="none" w:sz="0" w:space="0" w:color="auto"/>
      </w:divBdr>
      <w:divsChild>
        <w:div w:id="297303985">
          <w:marLeft w:val="0"/>
          <w:marRight w:val="0"/>
          <w:marTop w:val="0"/>
          <w:marBottom w:val="0"/>
          <w:divBdr>
            <w:top w:val="none" w:sz="0" w:space="0" w:color="auto"/>
            <w:left w:val="none" w:sz="0" w:space="0" w:color="auto"/>
            <w:bottom w:val="none" w:sz="0" w:space="0" w:color="auto"/>
            <w:right w:val="none" w:sz="0" w:space="0" w:color="auto"/>
          </w:divBdr>
          <w:divsChild>
            <w:div w:id="117142555">
              <w:marLeft w:val="0"/>
              <w:marRight w:val="0"/>
              <w:marTop w:val="0"/>
              <w:marBottom w:val="0"/>
              <w:divBdr>
                <w:top w:val="none" w:sz="0" w:space="0" w:color="auto"/>
                <w:left w:val="none" w:sz="0" w:space="0" w:color="auto"/>
                <w:bottom w:val="none" w:sz="0" w:space="0" w:color="auto"/>
                <w:right w:val="none" w:sz="0" w:space="0" w:color="auto"/>
              </w:divBdr>
            </w:div>
            <w:div w:id="517741286">
              <w:marLeft w:val="0"/>
              <w:marRight w:val="0"/>
              <w:marTop w:val="0"/>
              <w:marBottom w:val="0"/>
              <w:divBdr>
                <w:top w:val="none" w:sz="0" w:space="0" w:color="auto"/>
                <w:left w:val="none" w:sz="0" w:space="0" w:color="auto"/>
                <w:bottom w:val="none" w:sz="0" w:space="0" w:color="auto"/>
                <w:right w:val="none" w:sz="0" w:space="0" w:color="auto"/>
              </w:divBdr>
            </w:div>
            <w:div w:id="667445412">
              <w:marLeft w:val="0"/>
              <w:marRight w:val="0"/>
              <w:marTop w:val="0"/>
              <w:marBottom w:val="0"/>
              <w:divBdr>
                <w:top w:val="none" w:sz="0" w:space="0" w:color="auto"/>
                <w:left w:val="none" w:sz="0" w:space="0" w:color="auto"/>
                <w:bottom w:val="none" w:sz="0" w:space="0" w:color="auto"/>
                <w:right w:val="none" w:sz="0" w:space="0" w:color="auto"/>
              </w:divBdr>
            </w:div>
            <w:div w:id="1775204180">
              <w:marLeft w:val="0"/>
              <w:marRight w:val="0"/>
              <w:marTop w:val="0"/>
              <w:marBottom w:val="0"/>
              <w:divBdr>
                <w:top w:val="none" w:sz="0" w:space="0" w:color="auto"/>
                <w:left w:val="none" w:sz="0" w:space="0" w:color="auto"/>
                <w:bottom w:val="none" w:sz="0" w:space="0" w:color="auto"/>
                <w:right w:val="none" w:sz="0" w:space="0" w:color="auto"/>
              </w:divBdr>
            </w:div>
            <w:div w:id="1792356435">
              <w:marLeft w:val="0"/>
              <w:marRight w:val="0"/>
              <w:marTop w:val="0"/>
              <w:marBottom w:val="0"/>
              <w:divBdr>
                <w:top w:val="none" w:sz="0" w:space="0" w:color="auto"/>
                <w:left w:val="none" w:sz="0" w:space="0" w:color="auto"/>
                <w:bottom w:val="none" w:sz="0" w:space="0" w:color="auto"/>
                <w:right w:val="none" w:sz="0" w:space="0" w:color="auto"/>
              </w:divBdr>
            </w:div>
            <w:div w:id="19609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Factors affecting the decision to plant- a survey of non activated approvals</vt:lpstr>
    </vt:vector>
  </TitlesOfParts>
  <Company>Teagasc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decision to plant- a survey of non activated approvals</dc:title>
  <dc:creator>John.casey</dc:creator>
  <cp:lastModifiedBy>Emer Eagle</cp:lastModifiedBy>
  <cp:revision>2</cp:revision>
  <dcterms:created xsi:type="dcterms:W3CDTF">2015-12-18T14:42:00Z</dcterms:created>
  <dcterms:modified xsi:type="dcterms:W3CDTF">2015-12-18T14:42:00Z</dcterms:modified>
</cp:coreProperties>
</file>